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eastAsia="zh-CN"/>
        </w:rPr>
        <w:t>领导班子</w:t>
      </w:r>
      <w:r>
        <w:rPr>
          <w:rFonts w:hint="eastAsia" w:ascii="方正小标宋简体" w:hAnsi="方正小标宋简体" w:eastAsia="方正小标宋简体" w:cs="方正小标宋简体"/>
          <w:sz w:val="44"/>
          <w:szCs w:val="44"/>
          <w:lang w:val="en-US" w:eastAsia="zh-CN"/>
        </w:rPr>
        <w:t>2024年度党风廉政建设主体责任清单</w:t>
      </w:r>
    </w:p>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填报单位（公章）：中共南宁市总工会党组</w:t>
      </w:r>
    </w:p>
    <w:p>
      <w:pPr>
        <w:rPr>
          <w:rFonts w:hint="eastAsia"/>
          <w:lang w:val="en-US" w:eastAsia="zh-CN"/>
        </w:rPr>
      </w:pPr>
    </w:p>
    <w:p>
      <w:pPr>
        <w:rPr>
          <w:rFonts w:hint="eastAsia"/>
          <w:lang w:val="en-US" w:eastAsia="zh-CN"/>
        </w:rPr>
      </w:pPr>
      <w:r>
        <w:rPr>
          <w:rFonts w:hint="eastAsia"/>
          <w:lang w:val="en-US" w:eastAsia="zh-CN"/>
        </w:rPr>
        <w:t xml:space="preserve">                                    </w:t>
      </w:r>
    </w:p>
    <w:tbl>
      <w:tblPr>
        <w:tblStyle w:val="7"/>
        <w:tblW w:w="14308" w:type="dxa"/>
        <w:tblInd w:w="-1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57" w:type="dxa"/>
          <w:bottom w:w="28" w:type="dxa"/>
          <w:right w:w="57" w:type="dxa"/>
        </w:tblCellMar>
      </w:tblPr>
      <w:tblGrid>
        <w:gridCol w:w="1123"/>
        <w:gridCol w:w="1509"/>
        <w:gridCol w:w="8209"/>
        <w:gridCol w:w="1041"/>
        <w:gridCol w:w="1877"/>
        <w:gridCol w:w="5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blHeader/>
        </w:trPr>
        <w:tc>
          <w:tcPr>
            <w:tcW w:w="1123" w:type="dxa"/>
            <w:noWrap w:val="0"/>
            <w:vAlign w:val="center"/>
          </w:tcPr>
          <w:p>
            <w:pPr>
              <w:spacing w:line="300" w:lineRule="exact"/>
              <w:jc w:val="center"/>
              <w:rPr>
                <w:rFonts w:hint="eastAsia" w:ascii="宋体" w:hAnsi="宋体" w:cs="黑体"/>
                <w:b/>
                <w:color w:val="auto"/>
                <w:szCs w:val="21"/>
                <w:u w:val="none"/>
              </w:rPr>
            </w:pPr>
            <w:r>
              <w:rPr>
                <w:rFonts w:hint="eastAsia" w:ascii="宋体" w:hAnsi="宋体" w:cs="黑体"/>
                <w:b/>
                <w:color w:val="auto"/>
                <w:szCs w:val="21"/>
                <w:u w:val="none"/>
              </w:rPr>
              <w:t>清单分类</w:t>
            </w:r>
          </w:p>
        </w:tc>
        <w:tc>
          <w:tcPr>
            <w:tcW w:w="1509" w:type="dxa"/>
            <w:noWrap w:val="0"/>
            <w:vAlign w:val="center"/>
          </w:tcPr>
          <w:p>
            <w:pPr>
              <w:spacing w:line="300" w:lineRule="exact"/>
              <w:jc w:val="center"/>
              <w:rPr>
                <w:rFonts w:hint="eastAsia" w:ascii="宋体" w:hAnsi="宋体" w:cs="黑体"/>
                <w:b/>
                <w:color w:val="auto"/>
                <w:szCs w:val="21"/>
                <w:u w:val="none"/>
              </w:rPr>
            </w:pPr>
            <w:r>
              <w:rPr>
                <w:rFonts w:hint="eastAsia" w:ascii="宋体" w:hAnsi="宋体" w:cs="黑体"/>
                <w:b/>
                <w:color w:val="auto"/>
                <w:szCs w:val="21"/>
                <w:u w:val="none"/>
              </w:rPr>
              <w:t>责任项目</w:t>
            </w:r>
          </w:p>
        </w:tc>
        <w:tc>
          <w:tcPr>
            <w:tcW w:w="8209" w:type="dxa"/>
            <w:noWrap w:val="0"/>
            <w:vAlign w:val="center"/>
          </w:tcPr>
          <w:p>
            <w:pPr>
              <w:spacing w:line="300" w:lineRule="exact"/>
              <w:jc w:val="center"/>
              <w:rPr>
                <w:rFonts w:hint="eastAsia" w:ascii="宋体" w:hAnsi="宋体" w:cs="黑体"/>
                <w:b/>
                <w:color w:val="auto"/>
                <w:szCs w:val="21"/>
                <w:u w:val="none"/>
              </w:rPr>
            </w:pPr>
            <w:r>
              <w:rPr>
                <w:rFonts w:hint="eastAsia" w:ascii="宋体" w:hAnsi="宋体" w:cs="黑体"/>
                <w:b/>
                <w:color w:val="auto"/>
                <w:szCs w:val="21"/>
                <w:u w:val="none"/>
              </w:rPr>
              <w:t>具  体  措  施</w:t>
            </w:r>
          </w:p>
        </w:tc>
        <w:tc>
          <w:tcPr>
            <w:tcW w:w="1041" w:type="dxa"/>
            <w:noWrap w:val="0"/>
            <w:vAlign w:val="center"/>
          </w:tcPr>
          <w:p>
            <w:pPr>
              <w:spacing w:line="300" w:lineRule="exact"/>
              <w:jc w:val="center"/>
              <w:rPr>
                <w:rFonts w:hint="eastAsia" w:ascii="宋体" w:hAnsi="宋体" w:cs="黑体"/>
                <w:b/>
                <w:color w:val="auto"/>
                <w:szCs w:val="21"/>
                <w:u w:val="none"/>
              </w:rPr>
            </w:pPr>
            <w:r>
              <w:rPr>
                <w:rFonts w:hint="eastAsia" w:ascii="宋体" w:hAnsi="宋体" w:cs="黑体"/>
                <w:b/>
                <w:color w:val="auto"/>
                <w:szCs w:val="21"/>
                <w:u w:val="none"/>
              </w:rPr>
              <w:t>完成时限</w:t>
            </w:r>
          </w:p>
        </w:tc>
        <w:tc>
          <w:tcPr>
            <w:tcW w:w="1877" w:type="dxa"/>
            <w:noWrap w:val="0"/>
            <w:vAlign w:val="center"/>
          </w:tcPr>
          <w:p>
            <w:pPr>
              <w:spacing w:line="300" w:lineRule="exact"/>
              <w:jc w:val="center"/>
              <w:rPr>
                <w:rFonts w:hint="eastAsia" w:ascii="宋体" w:hAnsi="宋体" w:cs="黑体"/>
                <w:b/>
                <w:color w:val="auto"/>
                <w:szCs w:val="21"/>
                <w:u w:val="none"/>
              </w:rPr>
            </w:pPr>
            <w:r>
              <w:rPr>
                <w:rFonts w:hint="eastAsia" w:ascii="宋体" w:hAnsi="宋体" w:cs="黑体"/>
                <w:b/>
                <w:color w:val="auto"/>
                <w:szCs w:val="21"/>
                <w:u w:val="none"/>
              </w:rPr>
              <w:t>承办单位</w:t>
            </w:r>
          </w:p>
        </w:tc>
        <w:tc>
          <w:tcPr>
            <w:tcW w:w="549" w:type="dxa"/>
            <w:noWrap w:val="0"/>
            <w:vAlign w:val="center"/>
          </w:tcPr>
          <w:p>
            <w:pPr>
              <w:spacing w:line="300" w:lineRule="exact"/>
              <w:jc w:val="center"/>
              <w:rPr>
                <w:rFonts w:hint="eastAsia" w:ascii="宋体" w:hAnsi="宋体" w:cs="黑体"/>
                <w:b/>
                <w:color w:val="auto"/>
                <w:szCs w:val="21"/>
                <w:u w:val="none"/>
              </w:rPr>
            </w:pPr>
            <w:r>
              <w:rPr>
                <w:rFonts w:hint="eastAsia" w:ascii="宋体" w:hAnsi="宋体" w:cs="黑体"/>
                <w:b/>
                <w:color w:val="auto"/>
                <w:szCs w:val="21"/>
                <w:u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2" w:hRule="atLeast"/>
        </w:trPr>
        <w:tc>
          <w:tcPr>
            <w:tcW w:w="1123" w:type="dxa"/>
            <w:vMerge w:val="restart"/>
            <w:noWrap w:val="0"/>
            <w:vAlign w:val="center"/>
          </w:tcPr>
          <w:p>
            <w:pPr>
              <w:spacing w:line="300" w:lineRule="exact"/>
              <w:jc w:val="center"/>
              <w:rPr>
                <w:rFonts w:hint="default" w:ascii="宋体" w:hAnsi="宋体" w:eastAsia="宋体"/>
                <w:color w:val="auto"/>
                <w:szCs w:val="21"/>
                <w:u w:val="none"/>
                <w:lang w:val="en-US" w:eastAsia="zh-CN"/>
              </w:rPr>
            </w:pPr>
            <w:r>
              <w:rPr>
                <w:rFonts w:hint="eastAsia" w:ascii="宋体" w:hAnsi="宋体"/>
                <w:color w:val="auto"/>
                <w:szCs w:val="21"/>
                <w:u w:val="none"/>
              </w:rPr>
              <w:t>共性清单</w:t>
            </w:r>
          </w:p>
        </w:tc>
        <w:tc>
          <w:tcPr>
            <w:tcW w:w="1509" w:type="dxa"/>
            <w:vMerge w:val="restart"/>
            <w:noWrap w:val="0"/>
            <w:vAlign w:val="center"/>
          </w:tcPr>
          <w:p>
            <w:pPr>
              <w:spacing w:line="300" w:lineRule="exact"/>
              <w:rPr>
                <w:rFonts w:hint="eastAsia" w:ascii="宋体" w:hAnsi="宋体"/>
                <w:color w:val="auto"/>
                <w:szCs w:val="21"/>
                <w:u w:val="none"/>
              </w:rPr>
            </w:pPr>
            <w:r>
              <w:rPr>
                <w:rFonts w:hint="eastAsia" w:ascii="宋体" w:hAnsi="宋体"/>
                <w:color w:val="auto"/>
                <w:szCs w:val="21"/>
                <w:u w:val="none"/>
              </w:rPr>
              <w:t>加强政治建设</w:t>
            </w: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sz w:val="21"/>
                <w:szCs w:val="21"/>
                <w:u w:val="none"/>
              </w:rPr>
            </w:pPr>
            <w:r>
              <w:rPr>
                <w:rFonts w:hint="eastAsia" w:ascii="仿宋_GB2312" w:hAnsi="仿宋_GB2312" w:eastAsia="仿宋_GB2312" w:cs="仿宋_GB2312"/>
                <w:b w:val="0"/>
                <w:bCs w:val="0"/>
                <w:color w:val="auto"/>
                <w:sz w:val="21"/>
                <w:szCs w:val="21"/>
                <w:u w:val="none"/>
              </w:rPr>
              <w:t>1</w:t>
            </w:r>
            <w:r>
              <w:rPr>
                <w:rFonts w:hint="eastAsia" w:ascii="仿宋_GB2312" w:hAnsi="仿宋_GB2312" w:eastAsia="仿宋_GB2312" w:cs="仿宋_GB2312"/>
                <w:b w:val="0"/>
                <w:bCs w:val="0"/>
                <w:color w:val="auto"/>
                <w:sz w:val="21"/>
                <w:szCs w:val="21"/>
                <w:u w:val="none"/>
                <w:lang w:val="en-US" w:eastAsia="zh-CN"/>
              </w:rPr>
              <w:t>.</w:t>
            </w:r>
            <w:r>
              <w:rPr>
                <w:rFonts w:hint="eastAsia" w:ascii="仿宋_GB2312" w:hAnsi="仿宋_GB2312" w:eastAsia="仿宋_GB2312" w:cs="仿宋_GB2312"/>
                <w:b w:val="0"/>
                <w:bCs w:val="0"/>
                <w:color w:val="auto"/>
                <w:sz w:val="21"/>
                <w:szCs w:val="21"/>
                <w:u w:val="none"/>
              </w:rPr>
              <w:t>党组严格落实“第一议题”制度，及时跟进学习贯彻习近平总书记最新重要讲话、重要指示批示精神，深入学习贯彻习近平总书记关于党的自我革命的重要思想、</w:t>
            </w:r>
            <w:r>
              <w:rPr>
                <w:rFonts w:hint="eastAsia" w:ascii="仿宋_GB2312" w:hAnsi="仿宋_GB2312" w:eastAsia="仿宋_GB2312" w:cs="仿宋_GB2312"/>
                <w:b w:val="0"/>
                <w:bCs w:val="0"/>
                <w:color w:val="auto"/>
                <w:sz w:val="21"/>
                <w:szCs w:val="21"/>
                <w:u w:val="none"/>
                <w:lang w:eastAsia="zh-CN"/>
              </w:rPr>
              <w:t>习近平总书记关于铸牢中华民族共同体意识的重要论述、习近平总书记关于工人阶级和工会工作重要论述以及</w:t>
            </w:r>
            <w:r>
              <w:rPr>
                <w:rFonts w:hint="eastAsia" w:ascii="仿宋_GB2312" w:hAnsi="仿宋_GB2312" w:eastAsia="仿宋_GB2312" w:cs="仿宋_GB2312"/>
                <w:b w:val="0"/>
                <w:bCs w:val="0"/>
                <w:color w:val="auto"/>
                <w:sz w:val="21"/>
                <w:szCs w:val="21"/>
                <w:u w:val="none"/>
              </w:rPr>
              <w:t>关于广西工作论述的重要要求</w:t>
            </w:r>
            <w:r>
              <w:rPr>
                <w:rFonts w:hint="eastAsia" w:ascii="仿宋_GB2312" w:hAnsi="仿宋_GB2312" w:eastAsia="仿宋_GB2312" w:cs="仿宋_GB2312"/>
                <w:b w:val="0"/>
                <w:bCs w:val="0"/>
                <w:color w:val="auto"/>
                <w:sz w:val="21"/>
                <w:szCs w:val="21"/>
                <w:u w:val="none"/>
                <w:lang w:eastAsia="zh-CN"/>
              </w:rPr>
              <w:t>，</w:t>
            </w:r>
            <w:r>
              <w:rPr>
                <w:rFonts w:hint="eastAsia" w:ascii="仿宋_GB2312" w:hAnsi="仿宋_GB2312" w:eastAsia="仿宋_GB2312" w:cs="仿宋_GB2312"/>
                <w:b w:val="0"/>
                <w:bCs w:val="0"/>
                <w:color w:val="auto"/>
                <w:sz w:val="21"/>
                <w:szCs w:val="21"/>
                <w:u w:val="none"/>
              </w:rPr>
              <w:t>结合</w:t>
            </w:r>
            <w:r>
              <w:rPr>
                <w:rFonts w:hint="eastAsia" w:ascii="仿宋_GB2312" w:hAnsi="仿宋_GB2312" w:eastAsia="仿宋_GB2312" w:cs="仿宋_GB2312"/>
                <w:b w:val="0"/>
                <w:bCs w:val="0"/>
                <w:color w:val="auto"/>
                <w:sz w:val="21"/>
                <w:szCs w:val="21"/>
                <w:u w:val="none"/>
                <w:lang w:eastAsia="zh-CN"/>
              </w:rPr>
              <w:t>工会</w:t>
            </w:r>
            <w:r>
              <w:rPr>
                <w:rFonts w:hint="eastAsia" w:ascii="仿宋_GB2312" w:hAnsi="仿宋_GB2312" w:eastAsia="仿宋_GB2312" w:cs="仿宋_GB2312"/>
                <w:b w:val="0"/>
                <w:bCs w:val="0"/>
                <w:color w:val="auto"/>
                <w:sz w:val="21"/>
                <w:szCs w:val="21"/>
                <w:u w:val="none"/>
              </w:rPr>
              <w:t>实际</w:t>
            </w:r>
            <w:r>
              <w:rPr>
                <w:rFonts w:hint="eastAsia" w:ascii="仿宋_GB2312" w:hAnsi="仿宋_GB2312" w:eastAsia="仿宋_GB2312" w:cs="仿宋_GB2312"/>
                <w:b w:val="0"/>
                <w:bCs w:val="0"/>
                <w:color w:val="auto"/>
                <w:sz w:val="21"/>
                <w:szCs w:val="21"/>
                <w:u w:val="none"/>
                <w:lang w:eastAsia="zh-CN"/>
              </w:rPr>
              <w:t>，抓好</w:t>
            </w:r>
            <w:r>
              <w:rPr>
                <w:rFonts w:hint="eastAsia" w:ascii="仿宋_GB2312" w:hAnsi="仿宋_GB2312" w:eastAsia="仿宋_GB2312" w:cs="仿宋_GB2312"/>
                <w:b w:val="0"/>
                <w:bCs w:val="0"/>
                <w:color w:val="auto"/>
                <w:sz w:val="21"/>
                <w:szCs w:val="21"/>
                <w:u w:val="none"/>
              </w:rPr>
              <w:t>贯彻落实。</w:t>
            </w:r>
          </w:p>
        </w:tc>
        <w:tc>
          <w:tcPr>
            <w:tcW w:w="1041" w:type="dxa"/>
            <w:noWrap w:val="0"/>
            <w:vAlign w:val="center"/>
          </w:tcPr>
          <w:p>
            <w:pPr>
              <w:spacing w:line="300" w:lineRule="exact"/>
              <w:jc w:val="center"/>
              <w:rPr>
                <w:rFonts w:hint="eastAsia" w:ascii="仿宋_GB2312" w:hAnsi="仿宋_GB2312" w:eastAsia="仿宋_GB2312" w:cs="仿宋_GB2312"/>
                <w:color w:val="auto"/>
                <w:sz w:val="21"/>
                <w:szCs w:val="21"/>
                <w:u w:val="none"/>
              </w:rPr>
            </w:pPr>
            <w:r>
              <w:rPr>
                <w:rFonts w:hint="eastAsia" w:ascii="仿宋_GB2312" w:hAnsi="仿宋_GB2312" w:eastAsia="仿宋_GB2312" w:cs="仿宋_GB2312"/>
                <w:color w:val="auto"/>
                <w:sz w:val="21"/>
                <w:szCs w:val="21"/>
                <w:u w:val="none"/>
              </w:rPr>
              <w:t>及时召开</w:t>
            </w:r>
          </w:p>
        </w:tc>
        <w:tc>
          <w:tcPr>
            <w:tcW w:w="1877" w:type="dxa"/>
            <w:noWrap w:val="0"/>
            <w:vAlign w:val="center"/>
          </w:tcPr>
          <w:p>
            <w:pPr>
              <w:spacing w:line="300" w:lineRule="exact"/>
              <w:jc w:val="center"/>
              <w:rPr>
                <w:rFonts w:hint="eastAsia" w:ascii="仿宋_GB2312" w:hAnsi="仿宋_GB2312" w:eastAsia="仿宋_GB2312" w:cs="仿宋_GB2312"/>
                <w:color w:val="auto"/>
                <w:sz w:val="21"/>
                <w:szCs w:val="21"/>
                <w:u w:val="none"/>
              </w:rPr>
            </w:pPr>
            <w:r>
              <w:rPr>
                <w:rFonts w:hint="eastAsia" w:ascii="仿宋_GB2312" w:hAnsi="仿宋_GB2312" w:eastAsia="仿宋_GB2312" w:cs="仿宋_GB2312"/>
                <w:color w:val="auto"/>
                <w:sz w:val="21"/>
                <w:szCs w:val="21"/>
                <w:u w:val="none"/>
              </w:rPr>
              <w:t>办公室、组织部、机关党委</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2" w:hRule="atLeast"/>
        </w:trPr>
        <w:tc>
          <w:tcPr>
            <w:tcW w:w="1123" w:type="dxa"/>
            <w:vMerge w:val="continue"/>
            <w:noWrap w:val="0"/>
            <w:vAlign w:val="center"/>
          </w:tcPr>
          <w:p>
            <w:pPr>
              <w:spacing w:line="300" w:lineRule="exact"/>
              <w:jc w:val="center"/>
              <w:rPr>
                <w:rFonts w:hint="eastAsia" w:ascii="宋体" w:hAnsi="宋体"/>
                <w:color w:val="auto"/>
                <w:szCs w:val="21"/>
                <w:u w:val="none"/>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sz w:val="21"/>
                <w:szCs w:val="21"/>
                <w:u w:val="none"/>
              </w:rPr>
            </w:pPr>
            <w:r>
              <w:rPr>
                <w:rFonts w:hint="eastAsia" w:ascii="仿宋_GB2312" w:hAnsi="仿宋_GB2312" w:eastAsia="仿宋_GB2312" w:cs="仿宋_GB2312"/>
                <w:b w:val="0"/>
                <w:bCs w:val="0"/>
                <w:color w:val="auto"/>
                <w:sz w:val="21"/>
                <w:szCs w:val="21"/>
                <w:u w:val="none"/>
                <w:lang w:val="en-US" w:eastAsia="zh-CN"/>
              </w:rPr>
              <w:t>2.</w:t>
            </w:r>
            <w:r>
              <w:rPr>
                <w:rFonts w:hint="eastAsia" w:ascii="仿宋_GB2312" w:hAnsi="仿宋_GB2312" w:eastAsia="仿宋_GB2312" w:cs="仿宋_GB2312"/>
                <w:b w:val="0"/>
                <w:bCs w:val="0"/>
                <w:color w:val="auto"/>
                <w:sz w:val="21"/>
                <w:szCs w:val="21"/>
                <w:u w:val="none"/>
              </w:rPr>
              <w:t>完善落实落细习近平总书记重要讲话、重要指示批示精神和党中央决策部署长效机制，党组及时研究部署本单位贯彻具体措施，阶段性对贯彻落实情况进行“回头看”，形成闭环管理。</w:t>
            </w:r>
          </w:p>
        </w:tc>
        <w:tc>
          <w:tcPr>
            <w:tcW w:w="1041" w:type="dxa"/>
            <w:noWrap w:val="0"/>
            <w:vAlign w:val="center"/>
          </w:tcPr>
          <w:p>
            <w:pPr>
              <w:spacing w:line="300" w:lineRule="exact"/>
              <w:jc w:val="center"/>
              <w:rPr>
                <w:rFonts w:hint="eastAsia" w:ascii="仿宋_GB2312" w:hAnsi="仿宋_GB2312" w:eastAsia="仿宋_GB2312" w:cs="仿宋_GB2312"/>
                <w:color w:val="auto"/>
                <w:sz w:val="21"/>
                <w:szCs w:val="21"/>
                <w:u w:val="none"/>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spacing w:line="300" w:lineRule="exact"/>
              <w:jc w:val="center"/>
              <w:rPr>
                <w:rFonts w:hint="eastAsia" w:ascii="仿宋_GB2312" w:hAnsi="仿宋_GB2312" w:eastAsia="仿宋_GB2312" w:cs="仿宋_GB2312"/>
                <w:color w:val="auto"/>
                <w:sz w:val="21"/>
                <w:szCs w:val="21"/>
                <w:u w:val="none"/>
              </w:rPr>
            </w:pPr>
            <w:r>
              <w:rPr>
                <w:rFonts w:hint="eastAsia" w:ascii="仿宋_GB2312" w:hAnsi="仿宋_GB2312" w:eastAsia="仿宋_GB2312" w:cs="仿宋_GB2312"/>
                <w:color w:val="auto"/>
                <w:sz w:val="21"/>
                <w:szCs w:val="21"/>
                <w:u w:val="none"/>
              </w:rPr>
              <w:t>办公室、组织部、机关党委</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 w:hRule="atLeast"/>
        </w:trPr>
        <w:tc>
          <w:tcPr>
            <w:tcW w:w="1123" w:type="dxa"/>
            <w:vMerge w:val="continue"/>
            <w:noWrap w:val="0"/>
            <w:vAlign w:val="center"/>
          </w:tcPr>
          <w:p>
            <w:pPr>
              <w:spacing w:line="300" w:lineRule="exact"/>
              <w:jc w:val="center"/>
              <w:rPr>
                <w:rFonts w:hint="eastAsia" w:ascii="宋体" w:hAnsi="宋体"/>
                <w:color w:val="auto"/>
                <w:szCs w:val="21"/>
                <w:u w:val="none"/>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3.</w:t>
            </w:r>
            <w:r>
              <w:rPr>
                <w:rFonts w:hint="eastAsia" w:ascii="仿宋_GB2312" w:hAnsi="仿宋_GB2312" w:eastAsia="仿宋_GB2312" w:cs="仿宋_GB2312"/>
                <w:b w:val="0"/>
                <w:bCs w:val="0"/>
                <w:color w:val="auto"/>
                <w:sz w:val="21"/>
                <w:szCs w:val="21"/>
                <w:u w:val="none"/>
              </w:rPr>
              <w:t>严明党的政治纪律和政治规矩，及时发现、着力解决“七个有之”问题，坚决纠治“低级红”、“高级黑”。</w:t>
            </w:r>
          </w:p>
        </w:tc>
        <w:tc>
          <w:tcPr>
            <w:tcW w:w="1041" w:type="dxa"/>
            <w:noWrap w:val="0"/>
            <w:vAlign w:val="center"/>
          </w:tcPr>
          <w:p>
            <w:pPr>
              <w:spacing w:line="30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spacing w:line="30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eastAsia="zh-CN"/>
              </w:rPr>
              <w:t>机关党委、组织部</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73" w:hRule="atLeast"/>
        </w:trPr>
        <w:tc>
          <w:tcPr>
            <w:tcW w:w="1123" w:type="dxa"/>
            <w:vMerge w:val="continue"/>
            <w:noWrap w:val="0"/>
            <w:vAlign w:val="center"/>
          </w:tcPr>
          <w:p>
            <w:pPr>
              <w:spacing w:line="300" w:lineRule="exact"/>
              <w:jc w:val="center"/>
              <w:rPr>
                <w:rFonts w:hint="eastAsia" w:ascii="宋体" w:hAnsi="宋体"/>
                <w:color w:val="auto"/>
                <w:szCs w:val="21"/>
                <w:u w:val="none"/>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4.</w:t>
            </w:r>
            <w:r>
              <w:rPr>
                <w:rFonts w:hint="eastAsia" w:ascii="仿宋_GB2312" w:hAnsi="仿宋_GB2312" w:eastAsia="仿宋_GB2312" w:cs="仿宋_GB2312"/>
                <w:b w:val="0"/>
                <w:bCs w:val="0"/>
                <w:color w:val="auto"/>
                <w:sz w:val="21"/>
                <w:szCs w:val="21"/>
                <w:u w:val="none"/>
              </w:rPr>
              <w:t>严格执行党章和党内政治生活准则，严格落实民主集中制和重大事项请示报告等制度，</w:t>
            </w:r>
            <w:r>
              <w:rPr>
                <w:rFonts w:hint="eastAsia" w:ascii="仿宋_GB2312" w:hAnsi="仿宋_GB2312" w:eastAsia="仿宋_GB2312" w:cs="仿宋_GB2312"/>
                <w:b w:val="0"/>
                <w:bCs w:val="0"/>
                <w:color w:val="auto"/>
                <w:sz w:val="21"/>
                <w:szCs w:val="21"/>
                <w:u w:val="none"/>
                <w:lang w:eastAsia="zh-CN"/>
              </w:rPr>
              <w:t>开好民主生活会</w:t>
            </w:r>
            <w:r>
              <w:rPr>
                <w:rFonts w:hint="eastAsia" w:ascii="仿宋_GB2312" w:hAnsi="仿宋_GB2312" w:eastAsia="仿宋_GB2312" w:cs="仿宋_GB2312"/>
                <w:b w:val="0"/>
                <w:bCs w:val="0"/>
                <w:color w:val="auto"/>
                <w:sz w:val="21"/>
                <w:szCs w:val="21"/>
                <w:u w:val="none"/>
              </w:rPr>
              <w:t>。</w:t>
            </w:r>
          </w:p>
        </w:tc>
        <w:tc>
          <w:tcPr>
            <w:tcW w:w="1041" w:type="dxa"/>
            <w:noWrap w:val="0"/>
            <w:vAlign w:val="center"/>
          </w:tcPr>
          <w:p>
            <w:pPr>
              <w:spacing w:line="30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spacing w:line="30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eastAsia="zh-CN"/>
              </w:rPr>
              <w:t>机关党委、办公室、组织部</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 w:hRule="atLeast"/>
        </w:trPr>
        <w:tc>
          <w:tcPr>
            <w:tcW w:w="1123" w:type="dxa"/>
            <w:vMerge w:val="continue"/>
            <w:noWrap w:val="0"/>
            <w:vAlign w:val="center"/>
          </w:tcPr>
          <w:p>
            <w:pPr>
              <w:spacing w:line="300" w:lineRule="exact"/>
              <w:jc w:val="center"/>
              <w:rPr>
                <w:rFonts w:hint="eastAsia" w:ascii="宋体" w:hAnsi="宋体"/>
                <w:color w:val="auto"/>
                <w:szCs w:val="21"/>
                <w:u w:val="none"/>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5.巩固拓展学习贯彻习近平新时代中国特色社会主义思想主题教育成果，建立健全以学铸魂、以学增智、以学正风、以学促干的长效机制。</w:t>
            </w:r>
          </w:p>
        </w:tc>
        <w:tc>
          <w:tcPr>
            <w:tcW w:w="1041" w:type="dxa"/>
            <w:noWrap w:val="0"/>
            <w:vAlign w:val="center"/>
          </w:tcPr>
          <w:p>
            <w:pPr>
              <w:spacing w:line="300" w:lineRule="exact"/>
              <w:jc w:val="center"/>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spacing w:line="300" w:lineRule="exact"/>
              <w:jc w:val="center"/>
              <w:rPr>
                <w:rFonts w:hint="eastAsia" w:ascii="仿宋_GB2312" w:hAnsi="仿宋_GB2312" w:eastAsia="仿宋_GB2312" w:cs="仿宋_GB2312"/>
                <w:color w:val="auto"/>
                <w:szCs w:val="21"/>
                <w:u w:val="none"/>
                <w:lang w:eastAsia="zh-CN"/>
              </w:rPr>
            </w:pPr>
            <w:r>
              <w:rPr>
                <w:rFonts w:hint="eastAsia" w:ascii="仿宋_GB2312" w:hAnsi="仿宋_GB2312" w:eastAsia="仿宋_GB2312" w:cs="仿宋_GB2312"/>
                <w:color w:val="auto"/>
                <w:szCs w:val="21"/>
                <w:u w:val="none"/>
                <w:lang w:eastAsia="zh-CN"/>
              </w:rPr>
              <w:t>机关党委、办公室、组织部</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 w:hRule="atLeast"/>
        </w:trPr>
        <w:tc>
          <w:tcPr>
            <w:tcW w:w="1123" w:type="dxa"/>
            <w:vMerge w:val="continue"/>
            <w:noWrap w:val="0"/>
            <w:vAlign w:val="center"/>
          </w:tcPr>
          <w:p>
            <w:pPr>
              <w:spacing w:line="300" w:lineRule="exact"/>
              <w:jc w:val="center"/>
              <w:rPr>
                <w:rFonts w:hint="eastAsia" w:ascii="宋体" w:hAnsi="宋体"/>
                <w:color w:val="auto"/>
                <w:szCs w:val="21"/>
                <w:u w:val="none"/>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spacing w:line="280" w:lineRule="exact"/>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6.党组年内组织对本单位政治生态状况综合分析不少于一次，认真查找领导班子自身存在的突出问题，采取有力措施加以解决。政治生态状况综合分析抄送同级纪检监察机关。</w:t>
            </w:r>
          </w:p>
        </w:tc>
        <w:tc>
          <w:tcPr>
            <w:tcW w:w="1041" w:type="dxa"/>
            <w:noWrap w:val="0"/>
            <w:vAlign w:val="center"/>
          </w:tcPr>
          <w:p>
            <w:pPr>
              <w:spacing w:line="28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12月</w:t>
            </w:r>
          </w:p>
        </w:tc>
        <w:tc>
          <w:tcPr>
            <w:tcW w:w="1877" w:type="dxa"/>
            <w:noWrap w:val="0"/>
            <w:vAlign w:val="center"/>
          </w:tcPr>
          <w:p>
            <w:pPr>
              <w:spacing w:line="28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719" w:hRule="atLeast"/>
        </w:trPr>
        <w:tc>
          <w:tcPr>
            <w:tcW w:w="1123" w:type="dxa"/>
            <w:vMerge w:val="continue"/>
            <w:noWrap w:val="0"/>
            <w:vAlign w:val="center"/>
          </w:tcPr>
          <w:p>
            <w:pPr>
              <w:spacing w:line="300" w:lineRule="exact"/>
              <w:jc w:val="center"/>
              <w:rPr>
                <w:rFonts w:hint="eastAsia" w:ascii="宋体" w:hAnsi="宋体"/>
                <w:color w:val="auto"/>
                <w:szCs w:val="21"/>
                <w:u w:val="none"/>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kern w:val="2"/>
                <w:sz w:val="21"/>
                <w:szCs w:val="21"/>
                <w:u w:val="none"/>
                <w:lang w:val="en-US" w:eastAsia="zh-CN" w:bidi="ar-SA"/>
              </w:rPr>
              <w:t>7.坚持以铸牢中华民族共同体意识为主线，充分发挥工会桥梁纽带作用，组织各族职工群众参加五一升国旗活动、“网络职工正能量 争做中国好网民”等主题宣传教育活动。</w:t>
            </w:r>
          </w:p>
        </w:tc>
        <w:tc>
          <w:tcPr>
            <w:tcW w:w="1041" w:type="dxa"/>
            <w:noWrap w:val="0"/>
            <w:vAlign w:val="center"/>
          </w:tcPr>
          <w:p>
            <w:pPr>
              <w:spacing w:line="300" w:lineRule="exact"/>
              <w:jc w:val="center"/>
              <w:rPr>
                <w:rFonts w:hint="default"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kern w:val="2"/>
                <w:sz w:val="21"/>
                <w:szCs w:val="21"/>
                <w:u w:val="none"/>
                <w:lang w:val="en-US" w:eastAsia="zh-CN" w:bidi="ar-SA"/>
              </w:rPr>
              <w:t>适时开展</w:t>
            </w:r>
          </w:p>
        </w:tc>
        <w:tc>
          <w:tcPr>
            <w:tcW w:w="1877" w:type="dxa"/>
            <w:noWrap w:val="0"/>
            <w:vAlign w:val="center"/>
          </w:tcPr>
          <w:p>
            <w:pPr>
              <w:spacing w:line="30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kern w:val="2"/>
                <w:sz w:val="21"/>
                <w:szCs w:val="21"/>
                <w:u w:val="none"/>
                <w:lang w:val="en-US" w:eastAsia="zh-CN" w:bidi="ar-SA"/>
              </w:rPr>
              <w:t>宣教部</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restart"/>
            <w:noWrap w:val="0"/>
            <w:vAlign w:val="center"/>
          </w:tcPr>
          <w:p>
            <w:pPr>
              <w:spacing w:line="360" w:lineRule="exact"/>
              <w:jc w:val="center"/>
              <w:rPr>
                <w:rFonts w:hint="eastAsia" w:ascii="宋体" w:hAnsi="宋体"/>
                <w:color w:val="auto"/>
                <w:szCs w:val="21"/>
                <w:u w:val="none"/>
              </w:rPr>
            </w:pPr>
            <w:r>
              <w:rPr>
                <w:rFonts w:hint="eastAsia" w:ascii="宋体" w:hAnsi="宋体"/>
                <w:color w:val="auto"/>
                <w:szCs w:val="21"/>
                <w:u w:val="none"/>
              </w:rPr>
              <w:t>共性清单</w:t>
            </w:r>
          </w:p>
        </w:tc>
        <w:tc>
          <w:tcPr>
            <w:tcW w:w="1509" w:type="dxa"/>
            <w:vMerge w:val="restart"/>
            <w:noWrap w:val="0"/>
            <w:vAlign w:val="center"/>
          </w:tcPr>
          <w:p>
            <w:pPr>
              <w:spacing w:line="300" w:lineRule="exact"/>
              <w:jc w:val="center"/>
              <w:rPr>
                <w:rFonts w:hint="eastAsia" w:ascii="宋体" w:hAnsi="宋体"/>
                <w:color w:val="auto"/>
                <w:szCs w:val="21"/>
                <w:u w:val="none"/>
              </w:rPr>
            </w:pPr>
            <w:r>
              <w:rPr>
                <w:rFonts w:hint="eastAsia" w:ascii="宋体" w:hAnsi="宋体"/>
                <w:color w:val="auto"/>
                <w:szCs w:val="21"/>
                <w:u w:val="none"/>
              </w:rPr>
              <w:t>加强作风建设</w:t>
            </w: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b w:val="0"/>
                <w:bCs w:val="0"/>
                <w:color w:val="auto"/>
                <w:szCs w:val="21"/>
                <w:u w:val="none"/>
              </w:rPr>
            </w:pPr>
            <w:r>
              <w:rPr>
                <w:rFonts w:hint="eastAsia" w:ascii="仿宋_GB2312" w:hAnsi="仿宋_GB2312" w:eastAsia="仿宋_GB2312" w:cs="仿宋_GB2312"/>
                <w:b w:val="0"/>
                <w:bCs w:val="0"/>
                <w:color w:val="auto"/>
                <w:sz w:val="21"/>
                <w:szCs w:val="21"/>
                <w:u w:val="none"/>
                <w:lang w:val="en-US" w:eastAsia="zh-CN"/>
              </w:rPr>
              <w:t xml:space="preserve">8.开展群众身边不正之风和腐败问题集中整治工作，做到狠抓纠风治乱，集中整治行业性系统性突出问题。 </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 w:hRule="atLeast"/>
        </w:trPr>
        <w:tc>
          <w:tcPr>
            <w:tcW w:w="1123" w:type="dxa"/>
            <w:vMerge w:val="continue"/>
            <w:noWrap w:val="0"/>
            <w:vAlign w:val="center"/>
          </w:tcPr>
          <w:p>
            <w:pPr>
              <w:spacing w:line="300" w:lineRule="exact"/>
              <w:jc w:val="center"/>
              <w:rPr>
                <w:rFonts w:hint="default" w:ascii="宋体" w:hAnsi="宋体" w:eastAsia="宋体"/>
                <w:color w:val="auto"/>
                <w:szCs w:val="21"/>
                <w:u w:val="none"/>
                <w:lang w:val="en-US" w:eastAsia="zh-CN"/>
              </w:rPr>
            </w:pPr>
          </w:p>
        </w:tc>
        <w:tc>
          <w:tcPr>
            <w:tcW w:w="1509" w:type="dxa"/>
            <w:vMerge w:val="continue"/>
            <w:noWrap w:val="0"/>
            <w:vAlign w:val="center"/>
          </w:tcPr>
          <w:p>
            <w:pPr>
              <w:spacing w:line="300" w:lineRule="exact"/>
              <w:jc w:val="center"/>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_GB2312" w:hAnsi="仿宋_GB2312" w:eastAsia="仿宋_GB2312" w:cs="仿宋_GB2312"/>
                <w:b w:val="0"/>
                <w:bCs w:val="0"/>
                <w:color w:val="auto"/>
                <w:sz w:val="21"/>
                <w:szCs w:val="21"/>
                <w:u w:val="none"/>
                <w:lang w:val="en-US" w:eastAsia="zh-CN"/>
              </w:rPr>
            </w:pPr>
            <w:r>
              <w:rPr>
                <w:rFonts w:hint="eastAsia" w:ascii="仿宋_GB2312" w:hAnsi="仿宋_GB2312" w:eastAsia="仿宋_GB2312" w:cs="仿宋_GB2312"/>
                <w:b w:val="0"/>
                <w:bCs w:val="0"/>
                <w:color w:val="auto"/>
                <w:sz w:val="21"/>
                <w:szCs w:val="21"/>
                <w:u w:val="none"/>
                <w:lang w:val="en-US" w:eastAsia="zh-CN"/>
              </w:rPr>
              <w:t>9.锲而不舍落实中央八项规定及其实施细则精神，抓好重要节点“四风”防范工作。每逢节假日，通过开展节前廉政警示教育大会、传达上级文件精神、发送廉洁短信提醒等形式，加强教育提醒。</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95"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jc w:val="center"/>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sz w:val="21"/>
                <w:szCs w:val="21"/>
                <w:u w:val="none"/>
                <w:lang w:val="en-US" w:eastAsia="zh-CN"/>
              </w:rPr>
            </w:pPr>
            <w:r>
              <w:rPr>
                <w:rFonts w:hint="eastAsia" w:ascii="仿宋_GB2312" w:hAnsi="仿宋_GB2312" w:eastAsia="仿宋_GB2312" w:cs="仿宋_GB2312"/>
                <w:b w:val="0"/>
                <w:bCs w:val="0"/>
                <w:color w:val="auto"/>
                <w:sz w:val="21"/>
                <w:szCs w:val="21"/>
                <w:u w:val="none"/>
                <w:lang w:val="en-US" w:eastAsia="zh-CN"/>
              </w:rPr>
              <w:t>10.重拳纠治群众反映强烈的本单位加重基层负担的形式主义、官僚主义，重点检视查找、上下联动、合力解决“表现在基层，根子在上面”的问题。</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机关党委、相关部（室）、直属事业单位</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jc w:val="center"/>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_GB2312" w:hAnsi="仿宋_GB2312" w:eastAsia="仿宋_GB2312" w:cs="仿宋_GB2312"/>
                <w:b w:val="0"/>
                <w:bCs w:val="0"/>
                <w:color w:val="auto"/>
                <w:sz w:val="21"/>
                <w:szCs w:val="21"/>
                <w:u w:val="none"/>
                <w:lang w:val="en-US" w:eastAsia="zh-CN"/>
              </w:rPr>
            </w:pPr>
            <w:r>
              <w:rPr>
                <w:rFonts w:hint="eastAsia" w:ascii="仿宋_GB2312" w:hAnsi="仿宋_GB2312" w:eastAsia="仿宋_GB2312" w:cs="仿宋_GB2312"/>
                <w:b w:val="0"/>
                <w:bCs w:val="0"/>
                <w:color w:val="auto"/>
                <w:sz w:val="21"/>
                <w:szCs w:val="21"/>
                <w:u w:val="none"/>
                <w:lang w:val="en-US" w:eastAsia="zh-CN"/>
              </w:rPr>
              <w:t>11.贯彻落实自治区党委《清廉广西建设提质增效三年行动方案（2024—2026年）》，组织部署推动本单位清廉机关建设工作。建设廉洁文化阵地，推动廉洁文化侵润人心。</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机关党委、办公室、研究室、组织部、宣教部、女工办</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jc w:val="center"/>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12.开展违规吃喝问题专项整治，组织党员干部重温中央八项规定及其实施细则精神，教育党员干部自觉远离“牌局”“酒局”“玩局”，自觉净化“社交圈”“生活圈”“朋友圈”，规范“八小时外”生活。督促办公室、财务部、经审办、机关党委、机关工会、物业公司等相关部室（单位）对接待费、培训费、会议费、工作餐、工会费、党员活动经费、食堂支出等情况进行专项自查。</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8月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Times New Roman" w:hAnsi="Times New Roman" w:eastAsia="宋体" w:cs="Times New Roman"/>
                <w:color w:val="auto"/>
                <w:kern w:val="2"/>
                <w:sz w:val="21"/>
                <w:szCs w:val="24"/>
                <w:u w:val="none"/>
                <w:lang w:val="en-US" w:eastAsia="zh-CN" w:bidi="ar-SA"/>
              </w:rPr>
            </w:pPr>
            <w:r>
              <w:rPr>
                <w:rFonts w:hint="eastAsia" w:ascii="仿宋_GB2312" w:hAnsi="仿宋_GB2312" w:eastAsia="仿宋_GB2312" w:cs="仿宋_GB2312"/>
                <w:color w:val="auto"/>
                <w:szCs w:val="21"/>
                <w:u w:val="none"/>
                <w:lang w:val="en-US" w:eastAsia="zh-CN"/>
              </w:rPr>
              <w:t>办公室、财务部、经审办、机关党委、机关工会、物业公司等相关部室（单位）</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32"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jc w:val="center"/>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13.开展党员干部违规饮酒整治，对照自治区明确的违规饮酒十种情形，进行自查自纠。</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8月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 w:hRule="atLeast"/>
        </w:trPr>
        <w:tc>
          <w:tcPr>
            <w:tcW w:w="1123" w:type="dxa"/>
            <w:vMerge w:val="continue"/>
            <w:noWrap w:val="0"/>
            <w:vAlign w:val="center"/>
          </w:tcPr>
          <w:p>
            <w:pPr>
              <w:spacing w:line="360" w:lineRule="exact"/>
              <w:jc w:val="center"/>
              <w:rPr>
                <w:rFonts w:hint="eastAsia" w:ascii="宋体" w:hAnsi="宋体"/>
                <w:color w:val="auto"/>
                <w:szCs w:val="21"/>
                <w:u w:val="none"/>
              </w:rPr>
            </w:pPr>
          </w:p>
        </w:tc>
        <w:tc>
          <w:tcPr>
            <w:tcW w:w="1509" w:type="dxa"/>
            <w:vMerge w:val="restart"/>
            <w:noWrap w:val="0"/>
            <w:vAlign w:val="center"/>
          </w:tcPr>
          <w:p>
            <w:pPr>
              <w:spacing w:line="360" w:lineRule="exact"/>
              <w:jc w:val="center"/>
              <w:rPr>
                <w:rFonts w:hint="eastAsia" w:ascii="宋体" w:hAnsi="宋体"/>
                <w:color w:val="auto"/>
                <w:szCs w:val="21"/>
                <w:u w:val="none"/>
              </w:rPr>
            </w:pPr>
            <w:r>
              <w:rPr>
                <w:rFonts w:hint="eastAsia" w:ascii="宋体" w:hAnsi="宋体"/>
                <w:color w:val="auto"/>
                <w:szCs w:val="21"/>
                <w:u w:val="none"/>
              </w:rPr>
              <w:t>加强纪律建设</w:t>
            </w: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 w:val="21"/>
                <w:szCs w:val="21"/>
                <w:u w:val="none"/>
                <w:lang w:val="en-US" w:eastAsia="zh-CN"/>
              </w:rPr>
              <w:t>14.认真组织开展党纪学习教育，学习贯彻新修订的党纪处分条例，年内组织到廉洁文化教育基地、警示教育基地等开展廉政教育，召开1次警示教育会。</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7月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 w:val="21"/>
                <w:szCs w:val="21"/>
                <w:u w:val="none"/>
                <w:lang w:eastAsia="zh-CN"/>
              </w:rPr>
              <w:t>机关党委、组织部</w:t>
            </w:r>
          </w:p>
        </w:tc>
        <w:tc>
          <w:tcPr>
            <w:tcW w:w="549" w:type="dxa"/>
            <w:noWrap w:val="0"/>
            <w:vAlign w:val="center"/>
          </w:tcPr>
          <w:p>
            <w:pPr>
              <w:spacing w:line="36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24" w:hRule="atLeast"/>
        </w:trPr>
        <w:tc>
          <w:tcPr>
            <w:tcW w:w="1123" w:type="dxa"/>
            <w:vMerge w:val="continue"/>
            <w:noWrap w:val="0"/>
            <w:vAlign w:val="center"/>
          </w:tcPr>
          <w:p>
            <w:pPr>
              <w:spacing w:line="360" w:lineRule="exact"/>
              <w:jc w:val="center"/>
              <w:rPr>
                <w:rFonts w:hint="eastAsia" w:ascii="宋体" w:hAnsi="宋体"/>
                <w:color w:val="auto"/>
                <w:szCs w:val="21"/>
                <w:u w:val="none"/>
              </w:rPr>
            </w:pPr>
          </w:p>
        </w:tc>
        <w:tc>
          <w:tcPr>
            <w:tcW w:w="1509" w:type="dxa"/>
            <w:vMerge w:val="continue"/>
            <w:noWrap w:val="0"/>
            <w:vAlign w:val="center"/>
          </w:tcPr>
          <w:p>
            <w:pPr>
              <w:spacing w:line="360" w:lineRule="exact"/>
              <w:jc w:val="center"/>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 w:val="21"/>
                <w:szCs w:val="21"/>
                <w:u w:val="none"/>
                <w:lang w:val="en-US" w:eastAsia="zh-CN"/>
              </w:rPr>
              <w:t>15.加强对“一把手”和领导班子的监督，党组建立完善并认真组织实施上级“一把手”对下级“一把手”监督谈话、专题约谈、委托谈话、廉政家访工作机制。</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 w:val="21"/>
                <w:szCs w:val="21"/>
                <w:u w:val="none"/>
                <w:lang w:val="en-US" w:eastAsia="zh-CN"/>
              </w:rPr>
              <w:t>全年</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 w:val="21"/>
                <w:szCs w:val="21"/>
                <w:u w:val="none"/>
                <w:lang w:val="en-US" w:eastAsia="zh-CN"/>
              </w:rPr>
              <w:t>机关党委、组织部</w:t>
            </w:r>
          </w:p>
        </w:tc>
        <w:tc>
          <w:tcPr>
            <w:tcW w:w="549" w:type="dxa"/>
            <w:noWrap w:val="0"/>
            <w:vAlign w:val="center"/>
          </w:tcPr>
          <w:p>
            <w:pPr>
              <w:spacing w:line="36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677" w:hRule="atLeast"/>
        </w:trPr>
        <w:tc>
          <w:tcPr>
            <w:tcW w:w="1123" w:type="dxa"/>
            <w:vMerge w:val="continue"/>
            <w:noWrap w:val="0"/>
            <w:vAlign w:val="center"/>
          </w:tcPr>
          <w:p>
            <w:pPr>
              <w:spacing w:line="360" w:lineRule="exact"/>
              <w:jc w:val="center"/>
              <w:rPr>
                <w:rFonts w:hint="eastAsia" w:ascii="宋体" w:hAnsi="宋体"/>
                <w:color w:val="auto"/>
                <w:szCs w:val="21"/>
                <w:u w:val="none"/>
              </w:rPr>
            </w:pPr>
          </w:p>
        </w:tc>
        <w:tc>
          <w:tcPr>
            <w:tcW w:w="1509" w:type="dxa"/>
            <w:vMerge w:val="continue"/>
            <w:noWrap w:val="0"/>
            <w:vAlign w:val="center"/>
          </w:tcPr>
          <w:p>
            <w:pPr>
              <w:spacing w:line="360" w:lineRule="exact"/>
              <w:jc w:val="center"/>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_GB2312" w:hAnsi="仿宋_GB2312" w:eastAsia="仿宋_GB2312" w:cs="仿宋_GB2312"/>
                <w:b w:val="0"/>
                <w:bCs w:val="0"/>
                <w:color w:val="auto"/>
                <w:sz w:val="21"/>
                <w:szCs w:val="21"/>
                <w:u w:val="none"/>
                <w:lang w:val="en-US" w:eastAsia="zh-CN"/>
              </w:rPr>
            </w:pPr>
            <w:r>
              <w:rPr>
                <w:rFonts w:hint="eastAsia" w:ascii="仿宋_GB2312" w:hAnsi="仿宋_GB2312" w:eastAsia="仿宋_GB2312" w:cs="仿宋_GB2312"/>
                <w:b w:val="0"/>
                <w:bCs w:val="0"/>
                <w:color w:val="auto"/>
                <w:sz w:val="21"/>
                <w:szCs w:val="21"/>
                <w:u w:val="none"/>
                <w:lang w:val="en-US" w:eastAsia="zh-CN"/>
              </w:rPr>
              <w:t>16.严格把控工会经费管理和使用，促进内部控制规范管理，充分发挥工会审计工作的预防、监督和服务职能，持续加大工会财务监督检查工作力度。</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b w:val="0"/>
                <w:bCs w:val="0"/>
                <w:color w:val="auto"/>
                <w:sz w:val="21"/>
                <w:szCs w:val="21"/>
                <w:u w:val="none"/>
                <w:lang w:val="en-US" w:eastAsia="zh-CN"/>
              </w:rPr>
            </w:pPr>
            <w:r>
              <w:rPr>
                <w:rFonts w:hint="eastAsia" w:ascii="仿宋_GB2312" w:hAnsi="仿宋_GB2312" w:eastAsia="仿宋_GB2312" w:cs="仿宋_GB2312"/>
                <w:b w:val="0"/>
                <w:bCs w:val="0"/>
                <w:color w:val="auto"/>
                <w:sz w:val="21"/>
                <w:szCs w:val="21"/>
                <w:u w:val="none"/>
                <w:lang w:val="en-US" w:eastAsia="zh-CN"/>
              </w:rPr>
              <w:t>全年</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b w:val="0"/>
                <w:bCs w:val="0"/>
                <w:color w:val="auto"/>
                <w:sz w:val="21"/>
                <w:szCs w:val="21"/>
                <w:u w:val="none"/>
                <w:lang w:val="en-US" w:eastAsia="zh-CN"/>
              </w:rPr>
            </w:pPr>
            <w:r>
              <w:rPr>
                <w:rFonts w:hint="eastAsia" w:ascii="仿宋_GB2312" w:hAnsi="仿宋_GB2312" w:eastAsia="仿宋_GB2312" w:cs="仿宋_GB2312"/>
                <w:b w:val="0"/>
                <w:bCs w:val="0"/>
                <w:color w:val="auto"/>
                <w:sz w:val="21"/>
                <w:szCs w:val="21"/>
                <w:u w:val="none"/>
                <w:lang w:val="en-US" w:eastAsia="zh-CN"/>
              </w:rPr>
              <w:t>经审办</w:t>
            </w:r>
          </w:p>
        </w:tc>
        <w:tc>
          <w:tcPr>
            <w:tcW w:w="549" w:type="dxa"/>
            <w:noWrap w:val="0"/>
            <w:vAlign w:val="center"/>
          </w:tcPr>
          <w:p>
            <w:pPr>
              <w:spacing w:line="36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400" w:hRule="atLeast"/>
        </w:trPr>
        <w:tc>
          <w:tcPr>
            <w:tcW w:w="1123" w:type="dxa"/>
            <w:vMerge w:val="restart"/>
            <w:noWrap w:val="0"/>
            <w:vAlign w:val="center"/>
          </w:tcPr>
          <w:p>
            <w:pPr>
              <w:spacing w:line="280" w:lineRule="exact"/>
              <w:jc w:val="center"/>
              <w:rPr>
                <w:rFonts w:hint="eastAsia" w:ascii="宋体" w:hAnsi="宋体"/>
                <w:color w:val="auto"/>
                <w:szCs w:val="21"/>
                <w:u w:val="none"/>
              </w:rPr>
            </w:pPr>
            <w:r>
              <w:rPr>
                <w:rFonts w:hint="eastAsia" w:ascii="宋体" w:hAnsi="宋体"/>
                <w:color w:val="auto"/>
                <w:szCs w:val="21"/>
                <w:u w:val="none"/>
              </w:rPr>
              <w:t>共性清单</w:t>
            </w:r>
          </w:p>
        </w:tc>
        <w:tc>
          <w:tcPr>
            <w:tcW w:w="1509" w:type="dxa"/>
            <w:vMerge w:val="restart"/>
            <w:noWrap w:val="0"/>
            <w:vAlign w:val="center"/>
          </w:tcPr>
          <w:p>
            <w:pPr>
              <w:spacing w:line="280" w:lineRule="exact"/>
              <w:jc w:val="center"/>
              <w:rPr>
                <w:rFonts w:hint="eastAsia" w:ascii="宋体" w:hAnsi="宋体"/>
                <w:color w:val="auto"/>
                <w:szCs w:val="21"/>
                <w:u w:val="none"/>
              </w:rPr>
            </w:pPr>
            <w:r>
              <w:rPr>
                <w:rFonts w:hint="eastAsia" w:ascii="宋体" w:hAnsi="宋体"/>
                <w:color w:val="auto"/>
                <w:szCs w:val="21"/>
                <w:u w:val="none"/>
              </w:rPr>
              <w:t>加强组织领导</w:t>
            </w: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b w:val="0"/>
                <w:bCs w:val="0"/>
                <w:color w:val="auto"/>
                <w:szCs w:val="21"/>
                <w:u w:val="none"/>
                <w:lang w:val="en-US" w:eastAsia="zh-CN"/>
              </w:rPr>
            </w:pPr>
            <w:r>
              <w:rPr>
                <w:rFonts w:hint="eastAsia" w:ascii="仿宋_GB2312" w:hAnsi="仿宋_GB2312" w:eastAsia="仿宋_GB2312" w:cs="仿宋_GB2312"/>
                <w:b w:val="0"/>
                <w:bCs w:val="0"/>
                <w:color w:val="auto"/>
                <w:sz w:val="21"/>
                <w:szCs w:val="21"/>
                <w:u w:val="none"/>
                <w:lang w:val="en-US" w:eastAsia="zh-CN"/>
              </w:rPr>
              <w:t>17.支持纪检监察组工作，完善纪检监察组列席党组会议等相关会议的工作制度。</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12月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2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continue"/>
            <w:noWrap w:val="0"/>
            <w:vAlign w:val="center"/>
          </w:tcPr>
          <w:p>
            <w:pPr>
              <w:spacing w:line="28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Times New Roman"/>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18.党组每半年至少召开1次党组会议专题研究全面从严治党、党风廉政建设工作，分析研判形势，研究解决瓶颈和短板，提出加强和改进的措施。</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12月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continue"/>
            <w:noWrap w:val="0"/>
            <w:vAlign w:val="center"/>
          </w:tcPr>
          <w:p>
            <w:pPr>
              <w:spacing w:line="28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19.党组根据党中央决策部署以及上级党组织决定，结合本单位全面从严治党形势和任务，坚持问题导向，突出工作重点，制定本单位落实全面从严治党主体责任的年度任务安排，明确责任分工和完成时限。</w:t>
            </w:r>
          </w:p>
        </w:tc>
        <w:tc>
          <w:tcPr>
            <w:tcW w:w="1041" w:type="dxa"/>
            <w:noWrap w:val="0"/>
            <w:vAlign w:val="center"/>
          </w:tcPr>
          <w:p>
            <w:pPr>
              <w:spacing w:line="28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7月</w:t>
            </w:r>
          </w:p>
        </w:tc>
        <w:tc>
          <w:tcPr>
            <w:tcW w:w="1877" w:type="dxa"/>
            <w:noWrap w:val="0"/>
            <w:vAlign w:val="center"/>
          </w:tcPr>
          <w:p>
            <w:pPr>
              <w:spacing w:line="28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continue"/>
            <w:noWrap w:val="0"/>
            <w:vAlign w:val="center"/>
          </w:tcPr>
          <w:p>
            <w:pPr>
              <w:spacing w:line="280" w:lineRule="exact"/>
              <w:rPr>
                <w:rFonts w:hint="eastAsia" w:ascii="宋体" w:hAnsi="宋体"/>
                <w:color w:val="auto"/>
                <w:szCs w:val="21"/>
                <w:u w:val="none"/>
              </w:rPr>
            </w:pPr>
          </w:p>
        </w:tc>
        <w:tc>
          <w:tcPr>
            <w:tcW w:w="8209" w:type="dxa"/>
            <w:noWrap w:val="0"/>
            <w:vAlign w:val="center"/>
          </w:tcPr>
          <w:p>
            <w:pPr>
              <w:spacing w:line="280" w:lineRule="exact"/>
              <w:rPr>
                <w:rFonts w:hint="default"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20.党组按规定要求向上一级党委分别书面报告上一年度落实全面从严治党主体责任情况、落实党风廉政建设主体责任情况。</w:t>
            </w:r>
          </w:p>
        </w:tc>
        <w:tc>
          <w:tcPr>
            <w:tcW w:w="1041" w:type="dxa"/>
            <w:noWrap w:val="0"/>
            <w:vAlign w:val="center"/>
          </w:tcPr>
          <w:p>
            <w:pPr>
              <w:spacing w:line="280" w:lineRule="exact"/>
              <w:jc w:val="center"/>
              <w:rPr>
                <w:rFonts w:hint="default"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2月</w:t>
            </w:r>
          </w:p>
        </w:tc>
        <w:tc>
          <w:tcPr>
            <w:tcW w:w="1877" w:type="dxa"/>
            <w:noWrap w:val="0"/>
            <w:vAlign w:val="center"/>
          </w:tcPr>
          <w:p>
            <w:pPr>
              <w:spacing w:line="28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continue"/>
            <w:noWrap w:val="0"/>
            <w:vAlign w:val="center"/>
          </w:tcPr>
          <w:p>
            <w:pPr>
              <w:spacing w:line="280" w:lineRule="exact"/>
              <w:rPr>
                <w:rFonts w:hint="eastAsia" w:ascii="宋体" w:hAnsi="宋体"/>
                <w:color w:val="auto"/>
                <w:szCs w:val="21"/>
                <w:u w:val="none"/>
              </w:rPr>
            </w:pPr>
          </w:p>
        </w:tc>
        <w:tc>
          <w:tcPr>
            <w:tcW w:w="8209" w:type="dxa"/>
            <w:noWrap w:val="0"/>
            <w:vAlign w:val="center"/>
          </w:tcPr>
          <w:p>
            <w:pPr>
              <w:spacing w:line="280" w:lineRule="exact"/>
              <w:rPr>
                <w:rFonts w:hint="default"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21.党组年内安排专题听取班子成员和下一级党组织报告履行主体责任情况。开展下级“一把手”在上级党组扩大会议上述责述廉、接受评议工作，述责述廉报告在一定范围内公开。</w:t>
            </w:r>
          </w:p>
        </w:tc>
        <w:tc>
          <w:tcPr>
            <w:tcW w:w="1041" w:type="dxa"/>
            <w:noWrap w:val="0"/>
            <w:vAlign w:val="center"/>
          </w:tcPr>
          <w:p>
            <w:pPr>
              <w:spacing w:line="280" w:lineRule="exact"/>
              <w:jc w:val="center"/>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5月</w:t>
            </w:r>
          </w:p>
        </w:tc>
        <w:tc>
          <w:tcPr>
            <w:tcW w:w="1877" w:type="dxa"/>
            <w:noWrap w:val="0"/>
            <w:vAlign w:val="center"/>
          </w:tcPr>
          <w:p>
            <w:pPr>
              <w:spacing w:line="280" w:lineRule="exact"/>
              <w:jc w:val="center"/>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机关党委、各党（总）支</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continue"/>
            <w:noWrap w:val="0"/>
            <w:vAlign w:val="center"/>
          </w:tcPr>
          <w:p>
            <w:pPr>
              <w:spacing w:line="28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22.党组年内按规定要求办理纪检监察机关提出的纪检监察建议，对所采纳的建议，及时组织开展整改，做好整改反馈。</w:t>
            </w:r>
          </w:p>
        </w:tc>
        <w:tc>
          <w:tcPr>
            <w:tcW w:w="1041" w:type="dxa"/>
            <w:noWrap w:val="0"/>
            <w:vAlign w:val="center"/>
          </w:tcPr>
          <w:p>
            <w:pPr>
              <w:spacing w:line="30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适时开展</w:t>
            </w:r>
          </w:p>
        </w:tc>
        <w:tc>
          <w:tcPr>
            <w:tcW w:w="1877" w:type="dxa"/>
            <w:noWrap w:val="0"/>
            <w:vAlign w:val="center"/>
          </w:tcPr>
          <w:p>
            <w:pPr>
              <w:spacing w:line="30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restart"/>
            <w:noWrap w:val="0"/>
            <w:vAlign w:val="center"/>
          </w:tcPr>
          <w:p>
            <w:pPr>
              <w:spacing w:line="280" w:lineRule="exact"/>
              <w:jc w:val="center"/>
              <w:rPr>
                <w:rFonts w:hint="eastAsia" w:ascii="宋体" w:hAnsi="宋体" w:eastAsia="宋体"/>
                <w:color w:val="auto"/>
                <w:szCs w:val="21"/>
                <w:u w:val="none"/>
                <w:lang w:eastAsia="zh-CN"/>
              </w:rPr>
            </w:pPr>
            <w:r>
              <w:rPr>
                <w:rFonts w:hint="eastAsia" w:ascii="宋体" w:hAnsi="宋体"/>
                <w:color w:val="auto"/>
                <w:szCs w:val="21"/>
                <w:u w:val="none"/>
                <w:lang w:eastAsia="zh-CN"/>
              </w:rPr>
              <w:t>选好用好干部</w:t>
            </w: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Times New Roman"/>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 w:val="21"/>
                <w:szCs w:val="21"/>
                <w:u w:val="none"/>
                <w:lang w:val="en-US" w:eastAsia="zh-CN"/>
              </w:rPr>
              <w:t>23.认真落实中央关于加强年轻干部教育管理监督的意见，抓好年轻干部、新入职和新提任干部纪法培训、廉政提醒。</w:t>
            </w:r>
          </w:p>
        </w:tc>
        <w:tc>
          <w:tcPr>
            <w:tcW w:w="1041" w:type="dxa"/>
            <w:noWrap w:val="0"/>
            <w:vAlign w:val="center"/>
          </w:tcPr>
          <w:p>
            <w:pPr>
              <w:spacing w:line="36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spacing w:line="36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组织部、机关党委</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continue"/>
            <w:noWrap w:val="0"/>
            <w:vAlign w:val="center"/>
          </w:tcPr>
          <w:p>
            <w:pPr>
              <w:spacing w:line="280" w:lineRule="exact"/>
              <w:jc w:val="center"/>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24.加强市总工会干部队伍建设和管理，严格执行内部管理和考核办法；严格执行干部选拔任用工作有关规定，加强干部选拔任用工作的监督。</w:t>
            </w:r>
          </w:p>
        </w:tc>
        <w:tc>
          <w:tcPr>
            <w:tcW w:w="1041" w:type="dxa"/>
            <w:noWrap w:val="0"/>
            <w:vAlign w:val="center"/>
          </w:tcPr>
          <w:p>
            <w:pPr>
              <w:spacing w:line="300" w:lineRule="exact"/>
              <w:jc w:val="center"/>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12月</w:t>
            </w:r>
          </w:p>
        </w:tc>
        <w:tc>
          <w:tcPr>
            <w:tcW w:w="1877" w:type="dxa"/>
            <w:noWrap w:val="0"/>
            <w:vAlign w:val="center"/>
          </w:tcPr>
          <w:p>
            <w:pPr>
              <w:spacing w:line="300" w:lineRule="exact"/>
              <w:jc w:val="center"/>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组织部、机关党委</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restart"/>
            <w:noWrap w:val="0"/>
            <w:vAlign w:val="center"/>
          </w:tcPr>
          <w:p>
            <w:pPr>
              <w:spacing w:line="280" w:lineRule="exact"/>
              <w:jc w:val="center"/>
              <w:rPr>
                <w:rFonts w:hint="eastAsia" w:ascii="宋体" w:hAnsi="宋体" w:eastAsia="宋体"/>
                <w:color w:val="auto"/>
                <w:szCs w:val="21"/>
                <w:u w:val="none"/>
                <w:lang w:eastAsia="zh-CN"/>
              </w:rPr>
            </w:pPr>
            <w:r>
              <w:rPr>
                <w:rFonts w:hint="eastAsia" w:ascii="宋体" w:hAnsi="宋体"/>
                <w:color w:val="auto"/>
                <w:szCs w:val="21"/>
                <w:u w:val="none"/>
                <w:lang w:eastAsia="zh-CN"/>
              </w:rPr>
              <w:t>担负乡村振兴政治责任</w:t>
            </w: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25.根据上级部署要求并结合工作实际，动员广大基层工会、工会会员，通过“邕工慧”普惠服务平台采购脱贫地区农副产品，带动脱贫人口持续稳定增收，助力乡村振兴。</w:t>
            </w:r>
          </w:p>
        </w:tc>
        <w:tc>
          <w:tcPr>
            <w:tcW w:w="1041" w:type="dxa"/>
            <w:noWrap w:val="0"/>
            <w:vAlign w:val="center"/>
          </w:tcPr>
          <w:p>
            <w:pPr>
              <w:spacing w:line="300" w:lineRule="exact"/>
              <w:jc w:val="center"/>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12月</w:t>
            </w:r>
          </w:p>
        </w:tc>
        <w:tc>
          <w:tcPr>
            <w:tcW w:w="1877" w:type="dxa"/>
            <w:noWrap w:val="0"/>
            <w:vAlign w:val="center"/>
          </w:tcPr>
          <w:p>
            <w:pPr>
              <w:spacing w:line="300" w:lineRule="exact"/>
              <w:jc w:val="center"/>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网工部</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continue"/>
            <w:noWrap w:val="0"/>
            <w:vAlign w:val="center"/>
          </w:tcPr>
          <w:p>
            <w:pPr>
              <w:spacing w:line="280" w:lineRule="exact"/>
              <w:jc w:val="center"/>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26.持续深化乡村振兴领域不正之风和腐败问题专项整治，年内至少2次到定点帮扶村开展走访慰问。</w:t>
            </w:r>
          </w:p>
        </w:tc>
        <w:tc>
          <w:tcPr>
            <w:tcW w:w="1041" w:type="dxa"/>
            <w:noWrap w:val="0"/>
            <w:vAlign w:val="center"/>
          </w:tcPr>
          <w:p>
            <w:pPr>
              <w:spacing w:line="300" w:lineRule="exact"/>
              <w:jc w:val="center"/>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适时开展</w:t>
            </w:r>
          </w:p>
        </w:tc>
        <w:tc>
          <w:tcPr>
            <w:tcW w:w="1877" w:type="dxa"/>
            <w:noWrap w:val="0"/>
            <w:vAlign w:val="center"/>
          </w:tcPr>
          <w:p>
            <w:pPr>
              <w:spacing w:line="300" w:lineRule="exact"/>
              <w:jc w:val="center"/>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组织部、机关党委</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restart"/>
            <w:noWrap w:val="0"/>
            <w:vAlign w:val="center"/>
          </w:tcPr>
          <w:p>
            <w:pPr>
              <w:spacing w:line="280" w:lineRule="exact"/>
              <w:jc w:val="center"/>
              <w:rPr>
                <w:rFonts w:hint="eastAsia" w:ascii="宋体" w:hAnsi="宋体" w:eastAsia="宋体"/>
                <w:color w:val="auto"/>
                <w:szCs w:val="21"/>
                <w:u w:val="none"/>
                <w:lang w:eastAsia="zh-CN"/>
              </w:rPr>
            </w:pPr>
            <w:r>
              <w:rPr>
                <w:rFonts w:hint="eastAsia" w:ascii="宋体" w:hAnsi="宋体"/>
                <w:color w:val="auto"/>
                <w:szCs w:val="21"/>
                <w:u w:val="none"/>
                <w:lang w:eastAsia="zh-CN"/>
              </w:rPr>
              <w:t>加快健全监督体系</w:t>
            </w: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27.党组年内针对巡视巡察、审计、上级专项督查督导等反馈的问题，履行好整改主体责任，统筹研究制定有针对性的具体整改措施。通过建立整改台账，细化分解责任，统筹组织推进，加强督促落实，确保整改到位。</w:t>
            </w:r>
          </w:p>
        </w:tc>
        <w:tc>
          <w:tcPr>
            <w:tcW w:w="1041" w:type="dxa"/>
            <w:noWrap w:val="0"/>
            <w:vAlign w:val="center"/>
          </w:tcPr>
          <w:p>
            <w:pPr>
              <w:spacing w:line="300" w:lineRule="exact"/>
              <w:jc w:val="center"/>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适时开展</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办公室、相关部（室）和直属事业单位</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40" w:hRule="atLeast"/>
        </w:trPr>
        <w:tc>
          <w:tcPr>
            <w:tcW w:w="1123" w:type="dxa"/>
            <w:vMerge w:val="continue"/>
            <w:noWrap w:val="0"/>
            <w:vAlign w:val="center"/>
          </w:tcPr>
          <w:p>
            <w:pPr>
              <w:spacing w:line="280" w:lineRule="exact"/>
              <w:jc w:val="center"/>
              <w:rPr>
                <w:rFonts w:hint="eastAsia" w:ascii="宋体" w:hAnsi="宋体"/>
                <w:color w:val="auto"/>
                <w:szCs w:val="21"/>
                <w:u w:val="none"/>
              </w:rPr>
            </w:pPr>
          </w:p>
        </w:tc>
        <w:tc>
          <w:tcPr>
            <w:tcW w:w="1509" w:type="dxa"/>
            <w:vMerge w:val="continue"/>
            <w:noWrap w:val="0"/>
            <w:vAlign w:val="center"/>
          </w:tcPr>
          <w:p>
            <w:pPr>
              <w:spacing w:line="280" w:lineRule="exact"/>
              <w:rPr>
                <w:rFonts w:hint="eastAsia" w:ascii="宋体" w:hAnsi="宋体"/>
                <w:color w:val="auto"/>
                <w:szCs w:val="21"/>
                <w:u w:val="none"/>
                <w:lang w:eastAsia="zh-CN"/>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 w:val="21"/>
                <w:szCs w:val="21"/>
                <w:u w:val="none"/>
                <w:lang w:val="en-US" w:eastAsia="zh-CN"/>
              </w:rPr>
              <w:t>28.党组建立完善“一案一通报、一建议、一谈话、一警示、一整改、一评议”的以案促改工作机制。年内对本单位发生重大违纪违法案件、严重“四风”问题以及有班子成员被给予党纪政务处分的案件，及时召开专题民主生活会，认真对照检查，深刻剖析反思，明确整改责任。组织警示教育活动，以身边事警醒身边人。对案例中反映出制度机制方面的漏洞和不足，及时建章立制，堵塞漏洞。</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12月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机关党委、办公室、组织部</w:t>
            </w:r>
          </w:p>
        </w:tc>
        <w:tc>
          <w:tcPr>
            <w:tcW w:w="549" w:type="dxa"/>
            <w:noWrap w:val="0"/>
            <w:vAlign w:val="center"/>
          </w:tcPr>
          <w:p>
            <w:pPr>
              <w:spacing w:line="28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90" w:hRule="atLeast"/>
        </w:trPr>
        <w:tc>
          <w:tcPr>
            <w:tcW w:w="1123" w:type="dxa"/>
            <w:vMerge w:val="restart"/>
            <w:noWrap w:val="0"/>
            <w:vAlign w:val="center"/>
          </w:tcPr>
          <w:p>
            <w:pPr>
              <w:spacing w:line="300" w:lineRule="exact"/>
              <w:jc w:val="center"/>
              <w:rPr>
                <w:rFonts w:hint="default" w:ascii="宋体" w:hAnsi="宋体"/>
                <w:color w:val="auto"/>
                <w:szCs w:val="21"/>
                <w:u w:val="none"/>
                <w:lang w:val="en-US" w:eastAsia="zh-CN"/>
              </w:rPr>
            </w:pPr>
            <w:r>
              <w:rPr>
                <w:rFonts w:hint="eastAsia" w:ascii="宋体" w:hAnsi="宋体"/>
                <w:color w:val="auto"/>
                <w:szCs w:val="21"/>
                <w:u w:val="none"/>
              </w:rPr>
              <w:t>个性清单</w:t>
            </w:r>
          </w:p>
        </w:tc>
        <w:tc>
          <w:tcPr>
            <w:tcW w:w="1509" w:type="dxa"/>
            <w:vMerge w:val="restart"/>
            <w:noWrap w:val="0"/>
            <w:vAlign w:val="center"/>
          </w:tcPr>
          <w:p>
            <w:pPr>
              <w:spacing w:line="300" w:lineRule="exact"/>
              <w:rPr>
                <w:rFonts w:hint="eastAsia" w:ascii="宋体" w:hAnsi="宋体" w:eastAsia="宋体"/>
                <w:color w:val="auto"/>
                <w:szCs w:val="21"/>
                <w:u w:val="none"/>
                <w:lang w:eastAsia="zh-CN"/>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29</w:t>
            </w:r>
            <w:r>
              <w:rPr>
                <w:rFonts w:hint="default" w:ascii="仿宋_GB2312" w:hAnsi="仿宋_GB2312" w:eastAsia="仿宋_GB2312" w:cs="仿宋_GB2312"/>
                <w:b w:val="0"/>
                <w:bCs w:val="0"/>
                <w:color w:val="auto"/>
                <w:szCs w:val="21"/>
                <w:u w:val="none"/>
                <w:lang w:val="en-US" w:eastAsia="zh-CN"/>
              </w:rPr>
              <w:t>.进一步强化廉政风险防控工作，</w:t>
            </w:r>
            <w:r>
              <w:rPr>
                <w:rFonts w:hint="eastAsia" w:ascii="仿宋_GB2312" w:hAnsi="仿宋_GB2312" w:eastAsia="仿宋_GB2312" w:cs="仿宋_GB2312"/>
                <w:b w:val="0"/>
                <w:bCs w:val="0"/>
                <w:color w:val="auto"/>
                <w:szCs w:val="21"/>
                <w:u w:val="none"/>
                <w:lang w:val="en-US" w:eastAsia="zh-CN"/>
              </w:rPr>
              <w:t>重点围绕公务接待、购买服务项目招投标、评优评先等环节进行廉政风险点梳理</w:t>
            </w:r>
            <w:r>
              <w:rPr>
                <w:rFonts w:hint="default" w:ascii="仿宋_GB2312" w:hAnsi="仿宋_GB2312" w:eastAsia="仿宋_GB2312" w:cs="仿宋_GB2312"/>
                <w:b w:val="0"/>
                <w:bCs w:val="0"/>
                <w:color w:val="auto"/>
                <w:szCs w:val="21"/>
                <w:u w:val="none"/>
                <w:lang w:val="en-US" w:eastAsia="zh-CN"/>
              </w:rPr>
              <w:t>，</w:t>
            </w:r>
            <w:r>
              <w:rPr>
                <w:rFonts w:hint="eastAsia" w:ascii="仿宋_GB2312" w:hAnsi="仿宋_GB2312" w:eastAsia="仿宋_GB2312" w:cs="仿宋_GB2312"/>
                <w:b w:val="0"/>
                <w:bCs w:val="0"/>
                <w:color w:val="auto"/>
                <w:szCs w:val="21"/>
                <w:u w:val="none"/>
                <w:lang w:val="en-US" w:eastAsia="zh-CN"/>
              </w:rPr>
              <w:t>进一步</w:t>
            </w:r>
            <w:r>
              <w:rPr>
                <w:rFonts w:hint="default" w:ascii="仿宋_GB2312" w:hAnsi="仿宋_GB2312" w:eastAsia="仿宋_GB2312" w:cs="仿宋_GB2312"/>
                <w:b w:val="0"/>
                <w:bCs w:val="0"/>
                <w:color w:val="auto"/>
                <w:szCs w:val="21"/>
                <w:u w:val="none"/>
                <w:lang w:val="en-US" w:eastAsia="zh-CN"/>
              </w:rPr>
              <w:t>完善防控措施。</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10月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机关党委、办公室、财务部、经审办</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eastAsia" w:ascii="宋体" w:hAnsi="宋体"/>
                <w:color w:val="auto"/>
                <w:szCs w:val="21"/>
                <w:u w:val="none"/>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30.充分发挥联系职工群众“桥梁”“纽带”作用，做好职工群众来电来信来访工作，建立好台账，确保职工群众提出的问题，事事有回音、件件有着落。</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职工服务中心、权益保障部</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default" w:ascii="宋体" w:hAnsi="宋体" w:eastAsia="宋体"/>
                <w:color w:val="auto"/>
                <w:szCs w:val="21"/>
                <w:u w:val="none"/>
                <w:lang w:val="en-US" w:eastAsia="zh-CN"/>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31.对“三公”经费实行常态化监督检查，严格预决算管理，严格贯彻“过紧日子”要求。</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12月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kern w:val="2"/>
                <w:sz w:val="21"/>
                <w:szCs w:val="21"/>
                <w:u w:val="none"/>
                <w:lang w:val="en-US" w:eastAsia="zh-CN" w:bidi="ar-SA"/>
              </w:rPr>
              <w:t>财务部、经审办、办公室</w:t>
            </w:r>
          </w:p>
        </w:tc>
        <w:tc>
          <w:tcPr>
            <w:tcW w:w="549" w:type="dxa"/>
            <w:noWrap w:val="0"/>
            <w:vAlign w:val="center"/>
          </w:tcPr>
          <w:p>
            <w:pPr>
              <w:spacing w:line="280" w:lineRule="exact"/>
              <w:jc w:val="center"/>
              <w:rPr>
                <w:rFonts w:hint="eastAsia" w:ascii="仿宋_GB2312" w:hAnsi="仿宋_GB2312" w:eastAsia="仿宋_GB2312" w:cs="仿宋_GB2312"/>
                <w:color w:val="auto"/>
                <w:kern w:val="2"/>
                <w:sz w:val="21"/>
                <w:szCs w:val="21"/>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default" w:ascii="宋体" w:hAnsi="宋体"/>
                <w:color w:val="auto"/>
                <w:szCs w:val="21"/>
                <w:u w:val="none"/>
                <w:lang w:val="en-US" w:eastAsia="zh-CN"/>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32.整治干预招投标问题，严格执行采购项目规定程序。</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办公室、财务部、经审办、机关党委</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rPr>
                <w:rFonts w:hint="eastAsia" w:ascii="宋体" w:hAnsi="宋体"/>
                <w:color w:val="auto"/>
                <w:szCs w:val="21"/>
                <w:u w:val="none"/>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b w:val="0"/>
                <w:bCs w:val="0"/>
                <w:color w:val="auto"/>
                <w:kern w:val="2"/>
                <w:sz w:val="21"/>
                <w:szCs w:val="21"/>
                <w:u w:val="none"/>
                <w:lang w:val="en-US" w:eastAsia="zh-CN" w:bidi="ar-SA"/>
              </w:rPr>
            </w:pPr>
            <w:r>
              <w:rPr>
                <w:rFonts w:hint="eastAsia" w:ascii="仿宋_GB2312" w:hAnsi="仿宋_GB2312" w:eastAsia="仿宋_GB2312" w:cs="仿宋_GB2312"/>
                <w:b w:val="0"/>
                <w:bCs w:val="0"/>
                <w:color w:val="auto"/>
                <w:szCs w:val="21"/>
                <w:u w:val="none"/>
                <w:lang w:val="en-US" w:eastAsia="zh-CN"/>
              </w:rPr>
              <w:t>33</w:t>
            </w:r>
            <w:r>
              <w:rPr>
                <w:rFonts w:hint="default" w:ascii="仿宋_GB2312" w:hAnsi="仿宋_GB2312" w:eastAsia="仿宋_GB2312" w:cs="仿宋_GB2312"/>
                <w:b w:val="0"/>
                <w:bCs w:val="0"/>
                <w:color w:val="auto"/>
                <w:szCs w:val="21"/>
                <w:u w:val="none"/>
                <w:lang w:val="en-US" w:eastAsia="zh-CN"/>
              </w:rPr>
              <w:t>.加强机关纪委建设，</w:t>
            </w:r>
            <w:r>
              <w:rPr>
                <w:rFonts w:hint="eastAsia" w:ascii="仿宋_GB2312" w:hAnsi="仿宋_GB2312" w:eastAsia="仿宋_GB2312" w:cs="仿宋_GB2312"/>
                <w:b w:val="0"/>
                <w:bCs w:val="0"/>
                <w:color w:val="auto"/>
                <w:szCs w:val="21"/>
                <w:u w:val="none"/>
                <w:lang w:val="en-US" w:eastAsia="zh-CN"/>
              </w:rPr>
              <w:t>进一步推进党风廉政建设</w:t>
            </w:r>
            <w:r>
              <w:rPr>
                <w:rFonts w:hint="default" w:ascii="仿宋_GB2312" w:hAnsi="仿宋_GB2312" w:eastAsia="仿宋_GB2312" w:cs="仿宋_GB2312"/>
                <w:b w:val="0"/>
                <w:bCs w:val="0"/>
                <w:color w:val="auto"/>
                <w:szCs w:val="21"/>
                <w:u w:val="none"/>
                <w:lang w:val="en-US" w:eastAsia="zh-CN"/>
              </w:rPr>
              <w:t>工作</w:t>
            </w:r>
            <w:r>
              <w:rPr>
                <w:rFonts w:hint="eastAsia" w:ascii="仿宋_GB2312" w:hAnsi="仿宋_GB2312" w:eastAsia="仿宋_GB2312" w:cs="仿宋_GB2312"/>
                <w:b w:val="0"/>
                <w:bCs w:val="0"/>
                <w:color w:val="auto"/>
                <w:szCs w:val="21"/>
                <w:u w:val="none"/>
                <w:lang w:val="en-US" w:eastAsia="zh-CN"/>
              </w:rPr>
              <w:t>。</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全年</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kern w:val="2"/>
                <w:sz w:val="21"/>
                <w:szCs w:val="21"/>
                <w:u w:val="none"/>
                <w:lang w:val="en-US" w:eastAsia="zh-CN" w:bidi="ar-SA"/>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rPr>
                <w:rFonts w:hint="default" w:ascii="宋体" w:hAnsi="宋体"/>
                <w:color w:val="auto"/>
                <w:szCs w:val="21"/>
                <w:u w:val="none"/>
                <w:lang w:val="en-US"/>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34.严肃换届纪律，加强对南宁市工会第二十次代表大会换届选举工作监督，并邀请纪检监察组参与选举过程的监督，确保换届选举工作风清气正。</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8月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机关党委</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rPr>
                <w:rFonts w:hint="default" w:ascii="宋体" w:hAnsi="宋体"/>
                <w:color w:val="auto"/>
                <w:szCs w:val="21"/>
                <w:u w:val="none"/>
                <w:lang w:val="en-US"/>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color w:val="auto"/>
                <w:szCs w:val="21"/>
                <w:lang w:val="en-US" w:eastAsia="zh-CN"/>
              </w:rPr>
              <w:t>35.</w:t>
            </w:r>
            <w:r>
              <w:rPr>
                <w:rFonts w:hint="eastAsia" w:ascii="仿宋_GB2312" w:hAnsi="仿宋_GB2312" w:eastAsia="仿宋_GB2312" w:cs="仿宋_GB2312"/>
                <w:color w:val="auto"/>
                <w:szCs w:val="21"/>
                <w:lang w:eastAsia="zh-CN"/>
              </w:rPr>
              <w:t>围绕维护职工合法权益、竭诚服务职工群众的基本职责，</w:t>
            </w:r>
            <w:r>
              <w:rPr>
                <w:rFonts w:hint="eastAsia" w:ascii="仿宋_GB2312" w:hAnsi="仿宋_GB2312" w:eastAsia="仿宋_GB2312" w:cs="仿宋_GB2312"/>
                <w:color w:val="auto"/>
                <w:szCs w:val="21"/>
                <w:lang w:val="en-US" w:eastAsia="zh-CN"/>
              </w:rPr>
              <w:t>加强</w:t>
            </w:r>
            <w:r>
              <w:rPr>
                <w:rFonts w:hint="eastAsia" w:ascii="仿宋_GB2312" w:hAnsi="仿宋_GB2312" w:eastAsia="仿宋_GB2312" w:cs="仿宋_GB2312"/>
                <w:color w:val="auto"/>
                <w:szCs w:val="21"/>
              </w:rPr>
              <w:t>对</w:t>
            </w:r>
            <w:r>
              <w:rPr>
                <w:rFonts w:hint="eastAsia" w:ascii="仿宋_GB2312" w:hAnsi="仿宋_GB2312" w:eastAsia="仿宋_GB2312" w:cs="仿宋_GB2312"/>
                <w:color w:val="auto"/>
                <w:szCs w:val="21"/>
                <w:lang w:eastAsia="zh-CN"/>
              </w:rPr>
              <w:t>送温暖、送清凉项目资金使用管理的监督检查，确保资金使用规范、精准、高效、安全，切实维护广大职工的劳动安全健康权益。</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3月、8月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职工服务中心</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rPr>
                <w:rFonts w:hint="default" w:ascii="宋体" w:hAnsi="宋体"/>
                <w:color w:val="auto"/>
                <w:szCs w:val="21"/>
                <w:u w:val="none"/>
                <w:lang w:val="en-US"/>
              </w:rPr>
            </w:pPr>
          </w:p>
        </w:tc>
        <w:tc>
          <w:tcPr>
            <w:tcW w:w="8209"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default" w:ascii="仿宋_GB2312" w:hAnsi="仿宋_GB2312" w:eastAsia="仿宋_GB2312" w:cs="仿宋_GB2312"/>
                <w:b w:val="0"/>
                <w:bCs w:val="0"/>
                <w:color w:val="auto"/>
                <w:szCs w:val="21"/>
                <w:u w:val="none"/>
                <w:shd w:val="clear" w:color="auto" w:fill="auto"/>
                <w:lang w:val="en-US" w:eastAsia="zh-CN"/>
              </w:rPr>
            </w:pPr>
            <w:r>
              <w:rPr>
                <w:rFonts w:hint="eastAsia" w:ascii="仿宋_GB2312" w:hAnsi="仿宋_GB2312" w:eastAsia="仿宋_GB2312" w:cs="仿宋_GB2312"/>
                <w:b w:val="0"/>
                <w:bCs w:val="0"/>
                <w:color w:val="auto"/>
                <w:szCs w:val="21"/>
                <w:u w:val="none"/>
                <w:shd w:val="clear" w:color="auto" w:fill="auto"/>
                <w:lang w:val="en-US" w:eastAsia="zh-CN"/>
              </w:rPr>
              <w:t>36.严格规范、有序开展评先评优工作，在推荐全国五一劳动奖、广西壮族自治区劳动模范和先进工作者以及在选树命名“南宁工匠”工作中，坚决防止在推荐评选过程中把关不严、弄虚作假等问题发生，确保评先评优工作公平、公正。</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auto"/>
                <w:szCs w:val="21"/>
                <w:u w:val="none"/>
                <w:shd w:val="clear" w:color="auto" w:fill="auto"/>
                <w:lang w:val="en-US" w:eastAsia="zh-CN"/>
              </w:rPr>
            </w:pPr>
            <w:r>
              <w:rPr>
                <w:rFonts w:hint="eastAsia" w:ascii="仿宋_GB2312" w:hAnsi="仿宋_GB2312" w:eastAsia="仿宋_GB2312" w:cs="仿宋_GB2312"/>
                <w:color w:val="auto"/>
                <w:szCs w:val="21"/>
                <w:u w:val="none"/>
                <w:shd w:val="clear" w:color="auto" w:fill="auto"/>
                <w:lang w:val="en-US" w:eastAsia="zh-CN"/>
              </w:rPr>
              <w:t>8月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szCs w:val="21"/>
                <w:u w:val="none"/>
                <w:shd w:val="clear" w:color="auto" w:fill="auto"/>
                <w:lang w:val="en-US" w:eastAsia="zh-CN"/>
              </w:rPr>
            </w:pPr>
            <w:r>
              <w:rPr>
                <w:rFonts w:hint="eastAsia" w:ascii="仿宋_GB2312" w:hAnsi="仿宋_GB2312" w:eastAsia="仿宋_GB2312" w:cs="仿宋_GB2312"/>
                <w:color w:val="auto"/>
                <w:szCs w:val="21"/>
                <w:u w:val="none"/>
                <w:shd w:val="clear" w:color="auto" w:fill="auto"/>
                <w:lang w:val="en-US" w:eastAsia="zh-CN"/>
              </w:rPr>
              <w:t>劳经部</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rPr>
                <w:rFonts w:hint="default" w:ascii="宋体" w:hAnsi="宋体"/>
                <w:color w:val="auto"/>
                <w:szCs w:val="21"/>
                <w:u w:val="none"/>
                <w:lang w:val="en-US"/>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37.加强规范职工疗休养活动专项经费使用管理，持续开展针对不同行业、不同人群的基层一线职工的疗休养活动，切实提升职工获得感、幸福感。</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12月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劳经部、休养所</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rPr>
                <w:rFonts w:hint="default" w:ascii="宋体" w:hAnsi="宋体"/>
                <w:color w:val="auto"/>
                <w:szCs w:val="21"/>
                <w:u w:val="none"/>
                <w:lang w:val="en-US"/>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38.推动建立完善职工职业技能大赛管理办法，确保资金使用有规可依，使用规范高效。</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11月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技协办</w:t>
            </w:r>
          </w:p>
        </w:tc>
        <w:tc>
          <w:tcPr>
            <w:tcW w:w="549" w:type="dxa"/>
            <w:noWrap w:val="0"/>
            <w:vAlign w:val="center"/>
          </w:tcPr>
          <w:p>
            <w:pPr>
              <w:spacing w:line="300" w:lineRule="exact"/>
              <w:jc w:val="center"/>
              <w:rPr>
                <w:rFonts w:hint="eastAsia" w:ascii="宋体" w:hAnsi="宋体"/>
                <w:color w:val="auto"/>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7" w:type="dxa"/>
            <w:bottom w:w="28" w:type="dxa"/>
            <w:right w:w="57" w:type="dxa"/>
          </w:tblCellMar>
        </w:tblPrEx>
        <w:trPr>
          <w:trHeight w:val="397" w:hRule="atLeast"/>
        </w:trPr>
        <w:tc>
          <w:tcPr>
            <w:tcW w:w="1123" w:type="dxa"/>
            <w:vMerge w:val="continue"/>
            <w:noWrap w:val="0"/>
            <w:vAlign w:val="center"/>
          </w:tcPr>
          <w:p>
            <w:pPr>
              <w:spacing w:line="300" w:lineRule="exact"/>
              <w:jc w:val="center"/>
              <w:rPr>
                <w:rFonts w:hint="eastAsia" w:ascii="宋体" w:hAnsi="宋体"/>
                <w:color w:val="auto"/>
                <w:szCs w:val="21"/>
                <w:u w:val="none"/>
                <w:lang w:val="en-US" w:eastAsia="zh-CN"/>
              </w:rPr>
            </w:pPr>
          </w:p>
        </w:tc>
        <w:tc>
          <w:tcPr>
            <w:tcW w:w="1509" w:type="dxa"/>
            <w:vMerge w:val="continue"/>
            <w:noWrap w:val="0"/>
            <w:vAlign w:val="center"/>
          </w:tcPr>
          <w:p>
            <w:pPr>
              <w:spacing w:line="300" w:lineRule="exact"/>
              <w:rPr>
                <w:rFonts w:hint="default" w:ascii="宋体" w:hAnsi="宋体"/>
                <w:color w:val="auto"/>
                <w:szCs w:val="21"/>
                <w:u w:val="none"/>
                <w:lang w:val="en-US"/>
              </w:rPr>
            </w:pPr>
          </w:p>
        </w:tc>
        <w:tc>
          <w:tcPr>
            <w:tcW w:w="8209"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default" w:ascii="仿宋_GB2312" w:hAnsi="仿宋_GB2312" w:eastAsia="仿宋_GB2312" w:cs="仿宋_GB2312"/>
                <w:b w:val="0"/>
                <w:bCs w:val="0"/>
                <w:color w:val="auto"/>
                <w:szCs w:val="21"/>
                <w:u w:val="none"/>
                <w:lang w:val="en-US" w:eastAsia="zh-CN"/>
              </w:rPr>
            </w:pPr>
            <w:r>
              <w:rPr>
                <w:rFonts w:hint="eastAsia" w:ascii="仿宋_GB2312" w:hAnsi="仿宋_GB2312" w:eastAsia="仿宋_GB2312" w:cs="仿宋_GB2312"/>
                <w:b w:val="0"/>
                <w:bCs w:val="0"/>
                <w:color w:val="auto"/>
                <w:szCs w:val="21"/>
                <w:u w:val="none"/>
                <w:lang w:val="en-US" w:eastAsia="zh-CN"/>
              </w:rPr>
              <w:t>39.坚持党建引领，督促推进工会干部赴基层蹲点工作和新就业形态基层工会建设及服务新就业形态劳动者工作，年内指导10家以上新就业形态基层工会建设示范点，为15000名新就业形态劳动者购买人身意外险。</w:t>
            </w:r>
          </w:p>
        </w:tc>
        <w:tc>
          <w:tcPr>
            <w:tcW w:w="1041"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11月</w:t>
            </w:r>
          </w:p>
        </w:tc>
        <w:tc>
          <w:tcPr>
            <w:tcW w:w="1877" w:type="dxa"/>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auto"/>
                <w:szCs w:val="21"/>
                <w:u w:val="none"/>
                <w:lang w:val="en-US" w:eastAsia="zh-CN"/>
              </w:rPr>
            </w:pPr>
            <w:r>
              <w:rPr>
                <w:rFonts w:hint="eastAsia" w:ascii="仿宋_GB2312" w:hAnsi="仿宋_GB2312" w:eastAsia="仿宋_GB2312" w:cs="仿宋_GB2312"/>
                <w:color w:val="auto"/>
                <w:szCs w:val="21"/>
                <w:u w:val="none"/>
                <w:lang w:val="en-US" w:eastAsia="zh-CN"/>
              </w:rPr>
              <w:t>基层工作部</w:t>
            </w:r>
          </w:p>
        </w:tc>
        <w:tc>
          <w:tcPr>
            <w:tcW w:w="549" w:type="dxa"/>
            <w:noWrap w:val="0"/>
            <w:vAlign w:val="center"/>
          </w:tcPr>
          <w:p>
            <w:pPr>
              <w:spacing w:line="300" w:lineRule="exact"/>
              <w:jc w:val="center"/>
              <w:rPr>
                <w:rFonts w:hint="eastAsia" w:ascii="宋体" w:hAnsi="宋体"/>
                <w:color w:val="auto"/>
                <w:szCs w:val="21"/>
                <w:u w:val="none"/>
              </w:rPr>
            </w:pPr>
          </w:p>
        </w:tc>
      </w:tr>
    </w:tbl>
    <w:p>
      <w:pPr>
        <w:spacing w:line="400" w:lineRule="exact"/>
        <w:rPr>
          <w:rFonts w:hint="default" w:ascii="宋体" w:hAnsi="宋体" w:eastAsia="宋体" w:cs="仿宋_GB2312"/>
          <w:sz w:val="28"/>
          <w:szCs w:val="28"/>
          <w:lang w:val="en-US" w:eastAsia="zh-CN"/>
        </w:rPr>
      </w:pPr>
      <w:bookmarkStart w:id="0" w:name="_GoBack"/>
      <w:bookmarkEnd w:id="0"/>
    </w:p>
    <w:sectPr>
      <w:footerReference r:id="rId3" w:type="default"/>
      <w:pgSz w:w="16838" w:h="11906" w:orient="landscape"/>
      <w:pgMar w:top="1800" w:right="1440" w:bottom="1678"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0000000" w:usb3="00000000" w:csb0="2000019F" w:csb1="00000000"/>
  </w:font>
  <w:font w:name="仿宋">
    <w:altName w:val="方正仿宋_GBK"/>
    <w:panose1 w:val="02010609060101010101"/>
    <w:charset w:val="00"/>
    <w:family w:val="modern"/>
    <w:pitch w:val="default"/>
    <w:sig w:usb0="00000000" w:usb1="00000000"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oto Sans Syriac Eastern">
    <w:panose1 w:val="02040503050306020203"/>
    <w:charset w:val="86"/>
    <w:family w:val="auto"/>
    <w:pitch w:val="default"/>
    <w:sig w:usb0="00000000" w:usb1="00000000" w:usb2="00000080" w:usb3="00000000" w:csb0="203E0161" w:csb1="D7FF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liYWE5ZWVmNzBmNzU1YWY3ZTE4YzU5NDA4OGIzNTgifQ=="/>
  </w:docVars>
  <w:rsids>
    <w:rsidRoot w:val="7A469B6E"/>
    <w:rsid w:val="16F7D68E"/>
    <w:rsid w:val="1C7FE963"/>
    <w:rsid w:val="1DFC7425"/>
    <w:rsid w:val="27D9A6C3"/>
    <w:rsid w:val="27FE1DCE"/>
    <w:rsid w:val="2C8C25C8"/>
    <w:rsid w:val="2F75C10E"/>
    <w:rsid w:val="2FBBFC33"/>
    <w:rsid w:val="2FFF5943"/>
    <w:rsid w:val="33FFD4AB"/>
    <w:rsid w:val="3FFFBB2B"/>
    <w:rsid w:val="4FFBAAE9"/>
    <w:rsid w:val="5CEA62EF"/>
    <w:rsid w:val="5FE3284A"/>
    <w:rsid w:val="67FF522F"/>
    <w:rsid w:val="6C370A8A"/>
    <w:rsid w:val="6C79130F"/>
    <w:rsid w:val="6F9FA74E"/>
    <w:rsid w:val="6FFF4229"/>
    <w:rsid w:val="71F52FFF"/>
    <w:rsid w:val="77AF7B64"/>
    <w:rsid w:val="77EEE1E7"/>
    <w:rsid w:val="7927605E"/>
    <w:rsid w:val="7A469B6E"/>
    <w:rsid w:val="7B771988"/>
    <w:rsid w:val="7DBB18FB"/>
    <w:rsid w:val="7DFAF39C"/>
    <w:rsid w:val="7DFBE5A3"/>
    <w:rsid w:val="7EF745E0"/>
    <w:rsid w:val="7F15535B"/>
    <w:rsid w:val="7F692273"/>
    <w:rsid w:val="7FFF784E"/>
    <w:rsid w:val="9F9E4E92"/>
    <w:rsid w:val="9FFF89DA"/>
    <w:rsid w:val="9FFFFF92"/>
    <w:rsid w:val="ABFD4EB1"/>
    <w:rsid w:val="B54DE964"/>
    <w:rsid w:val="BF2AC5B5"/>
    <w:rsid w:val="BF5FFEE0"/>
    <w:rsid w:val="BFDD8156"/>
    <w:rsid w:val="BFEDEC0D"/>
    <w:rsid w:val="CFFF7647"/>
    <w:rsid w:val="D37BD2A2"/>
    <w:rsid w:val="D9FF76C9"/>
    <w:rsid w:val="DAFE4454"/>
    <w:rsid w:val="DE9F7FEA"/>
    <w:rsid w:val="DEEF8F2D"/>
    <w:rsid w:val="DFF303B9"/>
    <w:rsid w:val="DFFED1A9"/>
    <w:rsid w:val="EA4F2A2C"/>
    <w:rsid w:val="EAED1A0E"/>
    <w:rsid w:val="EDFA72A7"/>
    <w:rsid w:val="EF7A68A1"/>
    <w:rsid w:val="EFFB97AF"/>
    <w:rsid w:val="F153BE36"/>
    <w:rsid w:val="F3F59BE7"/>
    <w:rsid w:val="F57BF27B"/>
    <w:rsid w:val="F5F36658"/>
    <w:rsid w:val="F6F5FCE9"/>
    <w:rsid w:val="F73AED25"/>
    <w:rsid w:val="F73C3D32"/>
    <w:rsid w:val="FB7BB779"/>
    <w:rsid w:val="FCBF2DEC"/>
    <w:rsid w:val="FDEC4972"/>
    <w:rsid w:val="FDFA0281"/>
    <w:rsid w:val="FEF78178"/>
    <w:rsid w:val="FF3F260E"/>
    <w:rsid w:val="FF63FDAC"/>
    <w:rsid w:val="FFB57FD5"/>
    <w:rsid w:val="FFCF5D20"/>
    <w:rsid w:val="FFFA7691"/>
    <w:rsid w:val="FFFE76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Cambria" w:hAnsi="Cambria" w:eastAsia="仿宋" w:cs="Times New Roman"/>
      <w:b/>
      <w:bCs/>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Emphasis"/>
    <w:basedOn w:val="8"/>
    <w:qFormat/>
    <w:uiPriority w:val="0"/>
    <w:rPr>
      <w: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2765</Words>
  <Characters>2789</Characters>
  <Lines>0</Lines>
  <Paragraphs>0</Paragraphs>
  <TotalTime>3</TotalTime>
  <ScaleCrop>false</ScaleCrop>
  <LinksUpToDate>false</LinksUpToDate>
  <CharactersWithSpaces>2840</CharactersWithSpaces>
  <Application>WPS Office_11.8.2.10624_F1E327BC-269C-435d-A152-05C5408002CA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2023-05-01T10:39:00Z</dcterms:created>
  <dc:creator> </dc:creator>
  <cp:lastModifiedBy> </cp:lastModifiedBy>
  <cp:lastPrinted>2024-07-15T17:09:00Z</cp:lastPrinted>
  <dcterms:modified xsi:type="dcterms:W3CDTF">2024-07-18T08:46:00Z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2052-11.8.2.10624</vt:lpwstr>
  </property>
  <property fmtid="{D5CDD505-2E9C-101B-9397-08002B2CF9AE}" pid="3" name="ICV">
    <vt:lpwstr>34C0DD5846F442B18248F7BC17C79BEC_13</vt:lpwstr>
  </property>
</Properties>
</file>